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109.png" ContentType="image/png"/>
  <Override PartName="/word/media/rId56.png" ContentType="image/png"/>
  <Override PartName="/word/media/rId36.png" ContentType="image/png"/>
  <Override PartName="/word/media/rId112.png" ContentType="image/png"/>
  <Override PartName="/word/media/rId114.png" ContentType="image/png"/>
  <Override PartName="/word/media/rId115.png" ContentType="image/png"/>
  <Override PartName="/word/media/rId134.png" ContentType="image/png"/>
  <Override PartName="/word/media/rId91.png" ContentType="image/png"/>
  <Override PartName="/word/media/rId88.png" ContentType="image/png"/>
  <Override PartName="/word/media/rId95.png" ContentType="image/png"/>
  <Override PartName="/word/media/rId131.png" ContentType="image/png"/>
  <Override PartName="/word/media/rId68.png" ContentType="image/png"/>
  <Override PartName="/word/media/rId60.png" ContentType="image/png"/>
  <Override PartName="/word/media/rId62.png" ContentType="image/png"/>
  <Override PartName="/word/media/rId66.png" ContentType="image/png"/>
  <Override PartName="/word/media/rId44.png" ContentType="image/png"/>
  <Override PartName="/word/media/rId106.png" ContentType="image/png"/>
  <Override PartName="/word/media/rId105.png" ContentType="image/png"/>
  <Override PartName="/word/media/rId127.png" ContentType="image/png"/>
  <Override PartName="/word/media/rId128.png" ContentType="image/png"/>
  <Override PartName="/word/media/rId34.png" ContentType="image/png"/>
  <Override PartName="/word/media/rId48.png" ContentType="image/png"/>
  <Override PartName="/word/media/rId73.png" ContentType="image/png"/>
  <Override PartName="/word/media/rId77.png" ContentType="image/png"/>
  <Override PartName="/word/media/rId81.png" ContentType="image/png"/>
  <Override PartName="/word/media/rId85.png" ContentType="image/png"/>
  <Override PartName="/word/media/rId100.png" ContentType="image/png"/>
  <Override PartName="/word/media/rId107.png" ContentType="image/png"/>
  <Override PartName="/word/media/rId123.png" ContentType="image/png"/>
  <Override PartName="/word/media/rId51.jpg" ContentType="image/jpe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II</w:t>
      </w:r>
    </w:p>
    <w:p>
      <w:pPr>
        <w:pStyle w:val="Author"/>
      </w:pPr>
      <w:r>
        <w:t xml:space="preserve">Editor:</w:t>
      </w:r>
      <w:r>
        <w:t xml:space="preserve"> </w:t>
      </w:r>
      <w:r>
        <w:t xml:space="preserve">Iris</w:t>
      </w:r>
      <w:r>
        <w:t xml:space="preserve"> </w:t>
      </w:r>
      <w:r>
        <w:t xml:space="preserve">Eekhout</w:t>
      </w:r>
    </w:p>
    <w:bookmarkStart w:id="26" w:name="tuning-instruments-to-unity"/>
    <w:p>
      <w:pPr>
        <w:pStyle w:val="Heading1"/>
      </w:pPr>
      <w:r>
        <w:t xml:space="preserve">Tuning instruments to unity</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is currently available as a complete draft. The text of</w:t>
      </w:r>
      <w:r>
        <w:t xml:space="preserve"> </w:t>
      </w:r>
      <w:hyperlink r:id="rId21">
        <w:r>
          <w:rPr>
            <w:rStyle w:val="Hyperlink"/>
          </w:rPr>
          <w:t xml:space="preserve">Booklet II</w:t>
        </w:r>
      </w:hyperlink>
      <w:r>
        <w:t xml:space="preserve"> </w:t>
      </w:r>
      <w:r>
        <w:t xml:space="preserve">is almost complete, where much of the text of booklets III and IV still needs to be written.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27"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The D-score booklet I</w:t>
      </w:r>
      <w:r>
        <w:t xml:space="preserve"> </w:t>
      </w:r>
      <w:hyperlink r:id="rId20">
        <w:r>
          <w:rPr>
            <w:rStyle w:val="Hyperlink"/>
          </w:rPr>
          <w:t xml:space="preserve">Turning milestones into measurement</w:t>
        </w:r>
      </w:hyperlink>
      <w:r>
        <w:t xml:space="preserve"> </w:t>
      </w:r>
      <w:r>
        <w:t xml:space="preserve">in this series showed that the D-score (Developmental score) meets those criteria.</w:t>
      </w:r>
    </w:p>
    <w:p>
      <w:pPr>
        <w:pStyle w:val="BodyText"/>
      </w:pPr>
      <w:r>
        <w:t xml:space="preserve">The present volume,</w:t>
      </w:r>
      <w:r>
        <w:t xml:space="preserve"> </w:t>
      </w:r>
      <w:hyperlink r:id="rId21">
        <w:r>
          <w:rPr>
            <w:rStyle w:val="Hyperlink"/>
          </w:rPr>
          <w:t xml:space="preserve">Tuning instruments to unity</w:t>
        </w:r>
      </w:hyperlink>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27"/>
    <w:bookmarkStart w:id="33" w:name="ch:introduction2"/>
    <w:p>
      <w:pPr>
        <w:pStyle w:val="Heading1"/>
      </w:pPr>
      <w:r>
        <w:rPr>
          <w:rStyle w:val="SectionNumber"/>
        </w:rPr>
        <w:t xml:space="preserve">1</w:t>
      </w:r>
      <w:r>
        <w:tab/>
      </w:r>
      <w:r>
        <w:t xml:space="preserve">Introduction</w:t>
      </w:r>
    </w:p>
    <w:p>
      <w:pPr>
        <w:pStyle w:val="BlockText"/>
      </w:pPr>
      <w:r>
        <w:t xml:space="preserve">Author: Stef van Buuren</w:t>
      </w:r>
    </w:p>
    <w:p>
      <w:pPr>
        <w:pStyle w:val="FirstParagraph"/>
      </w:pPr>
      <w:r>
        <w:t xml:space="preserve">This introductory chapter</w:t>
      </w:r>
    </w:p>
    <w:p>
      <w:pPr>
        <w:numPr>
          <w:ilvl w:val="0"/>
          <w:numId w:val="1002"/>
        </w:numPr>
        <w:pStyle w:val="Compact"/>
      </w:pPr>
      <w:r>
        <w:t xml:space="preserve">briefly summarises our previous work on the D-score (</w:t>
      </w:r>
      <w:r>
        <w:t xml:space="preserve">1.1</w:t>
      </w:r>
      <w:r>
        <w:t xml:space="preserve">)</w:t>
      </w:r>
    </w:p>
    <w:p>
      <w:pPr>
        <w:numPr>
          <w:ilvl w:val="0"/>
          <w:numId w:val="1002"/>
        </w:numPr>
        <w:pStyle w:val="Compact"/>
      </w:pPr>
      <w:r>
        <w:t xml:space="preserve">introduces the main topic of the booklet (</w:t>
      </w:r>
      <w:r>
        <w:t xml:space="preserve">1.2</w:t>
      </w:r>
      <w:r>
        <w:t xml:space="preserve">)</w:t>
      </w:r>
    </w:p>
    <w:p>
      <w:pPr>
        <w:numPr>
          <w:ilvl w:val="0"/>
          <w:numId w:val="1002"/>
        </w:numPr>
        <w:pStyle w:val="Compact"/>
      </w:pPr>
      <w:r>
        <w:t xml:space="preserve">highlights the relevance of work (</w:t>
      </w:r>
      <w:r>
        <w:t xml:space="preserve">1.3</w:t>
      </w:r>
      <w:r>
        <w:t xml:space="preserve">)</w:t>
      </w:r>
    </w:p>
    <w:p>
      <w:pPr>
        <w:numPr>
          <w:ilvl w:val="0"/>
          <w:numId w:val="1002"/>
        </w:numPr>
        <w:pStyle w:val="Compact"/>
      </w:pPr>
      <w:r>
        <w:t xml:space="preserve">explains why we have written this booklet (</w:t>
      </w:r>
      <w:r>
        <w:t xml:space="preserve">1.4</w:t>
      </w:r>
      <w:r>
        <w:t xml:space="preserve">)</w:t>
      </w:r>
    </w:p>
    <w:p>
      <w:pPr>
        <w:numPr>
          <w:ilvl w:val="0"/>
          <w:numId w:val="1002"/>
        </w:numPr>
        <w:pStyle w:val="Compact"/>
      </w:pPr>
      <w:r>
        <w:t xml:space="preserve">delineates the intended audience (</w:t>
      </w:r>
      <w:r>
        <w:t xml:space="preserve">1.5</w:t>
      </w:r>
      <w:r>
        <w:t xml:space="preserve">)</w:t>
      </w:r>
    </w:p>
    <w:bookmarkStart w:id="28" w:name="sec:previous"/>
    <w:p>
      <w:pPr>
        <w:pStyle w:val="Heading2"/>
      </w:pPr>
      <w:r>
        <w:rPr>
          <w:rStyle w:val="SectionNumber"/>
        </w:rPr>
        <w:t xml:space="preserve">1.1</w:t>
      </w:r>
      <w:r>
        <w:tab/>
      </w:r>
      <w:r>
        <w:t xml:space="preserve">Previous work on the D-score</w:t>
      </w:r>
    </w:p>
    <w:p>
      <w:pPr>
        <w:pStyle w:val="FirstParagraph"/>
      </w:pPr>
      <w:r>
        <w:t xml:space="preserve">The D-score booklet I</w:t>
      </w:r>
      <w:r>
        <w:t xml:space="preserve"> </w:t>
      </w:r>
      <w:hyperlink r:id="rId20">
        <w:r>
          <w:rPr>
            <w:rStyle w:val="Hyperlink"/>
          </w:rPr>
          <w:t xml:space="preserve">Turning milestones into measurement</w:t>
        </w:r>
      </w:hyperlink>
      <w:r>
        <w:t xml:space="preserve"> </w:t>
      </w:r>
      <w:r>
        <w:t xml:space="preserve">highlights the concepts and tools needed to obtain a quantitative score from a set of developmental milestones.</w:t>
      </w:r>
    </w:p>
    <w:p>
      <w:pPr>
        <w:pStyle w:val="BodyText"/>
      </w:pPr>
      <w:r>
        <w:t xml:space="preserve">In practice, we typically want to make the following types of comparisons:</w:t>
      </w:r>
    </w:p>
    <w:p>
      <w:pPr>
        <w:numPr>
          <w:ilvl w:val="0"/>
          <w:numId w:val="1003"/>
        </w:numPr>
        <w:pStyle w:val="Compact"/>
      </w:pPr>
      <w:r>
        <w:t xml:space="preserve">Compare development within the same child over time;</w:t>
      </w:r>
    </w:p>
    <w:p>
      <w:pPr>
        <w:numPr>
          <w:ilvl w:val="0"/>
          <w:numId w:val="1003"/>
        </w:numPr>
        <w:pStyle w:val="Compact"/>
      </w:pPr>
      <w:r>
        <w:t xml:space="preserve">Compare the development of two children of the same age;</w:t>
      </w:r>
    </w:p>
    <w:p>
      <w:pPr>
        <w:numPr>
          <w:ilvl w:val="0"/>
          <w:numId w:val="1003"/>
        </w:numPr>
        <w:pStyle w:val="Compact"/>
      </w:pPr>
      <w:r>
        <w:t xml:space="preserve">Compare the development of two children of different ages;</w:t>
      </w:r>
    </w:p>
    <w:p>
      <w:pPr>
        <w:numPr>
          <w:ilvl w:val="0"/>
          <w:numId w:val="1003"/>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fitted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BodyTex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28"/>
    <w:bookmarkStart w:id="29" w:name="sec:thisvolume"/>
    <w:p>
      <w:pPr>
        <w:pStyle w:val="Heading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Turning milestones into measurement</w:t>
        </w:r>
      </w:hyperlink>
      <w:r>
        <w:t xml:space="preserve"> </w:t>
      </w:r>
      <w:r>
        <w:t xml:space="preserve">for measurements observed by one instrument. In practice, however, there is a complication. We often need to deal with multiple, partially overlapping tools. For example, our data may contain</w:t>
      </w:r>
    </w:p>
    <w:p>
      <w:pPr>
        <w:numPr>
          <w:ilvl w:val="0"/>
          <w:numId w:val="1004"/>
        </w:numPr>
        <w:pStyle w:val="Compact"/>
      </w:pPr>
      <w:r>
        <w:t xml:space="preserve">different versions of the same instrument (e.g., Bayley I, II and III);</w:t>
      </w:r>
    </w:p>
    <w:p>
      <w:pPr>
        <w:numPr>
          <w:ilvl w:val="0"/>
          <w:numId w:val="1004"/>
        </w:numPr>
        <w:pStyle w:val="Compact"/>
      </w:pPr>
      <w:r>
        <w:t xml:space="preserve">different language versions of the same tool;</w:t>
      </w:r>
    </w:p>
    <w:p>
      <w:pPr>
        <w:numPr>
          <w:ilvl w:val="0"/>
          <w:numId w:val="1004"/>
        </w:numPr>
        <w:pStyle w:val="Compact"/>
      </w:pPr>
      <w:r>
        <w:t xml:space="preserve">different tools administered to the same sample;</w:t>
      </w:r>
    </w:p>
    <w:p>
      <w:pPr>
        <w:numPr>
          <w:ilvl w:val="0"/>
          <w:numId w:val="1004"/>
        </w:numPr>
        <w:pStyle w:val="Compact"/>
      </w:pPr>
      <w:r>
        <w:t xml:space="preserve">different tools administered to different samples;</w:t>
      </w:r>
    </w:p>
    <w:p>
      <w:pPr>
        <w:numPr>
          <w:ilvl w:val="0"/>
          <w:numId w:val="1004"/>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BodyTex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BodyText"/>
      </w:pPr>
      <w:r>
        <w:t xml:space="preserve">This booklet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BodyText"/>
      </w:pPr>
      <w:r>
        <w:t xml:space="preserve">Many of the techniques are well known within psychometrics and educational research. This booklet translates the concepts to the field of child development.</w:t>
      </w:r>
    </w:p>
    <w:bookmarkEnd w:id="29"/>
    <w:bookmarkStart w:id="30" w:name="sec:relevance"/>
    <w:p>
      <w:pPr>
        <w:pStyle w:val="Heading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BodyTex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BodyTex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0"/>
    <w:bookmarkStart w:id="31" w:name="sec:why"/>
    <w:p>
      <w:pPr>
        <w:pStyle w:val="Heading2"/>
      </w:pPr>
      <w:r>
        <w:rPr>
          <w:rStyle w:val="SectionNumber"/>
        </w:rPr>
        <w:t xml:space="preserve">1.4</w:t>
      </w:r>
      <w:r>
        <w:tab/>
      </w:r>
      <w:r>
        <w:t xml:space="preserve">Why this booklet?</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BodyTex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BodyTex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booklet explores the theory and practice for making that happen.</w:t>
      </w:r>
    </w:p>
    <w:bookmarkEnd w:id="31"/>
    <w:bookmarkStart w:id="32" w:name="sec:audience"/>
    <w:p>
      <w:pPr>
        <w:pStyle w:val="Heading2"/>
      </w:pPr>
      <w:r>
        <w:rPr>
          <w:rStyle w:val="SectionNumber"/>
        </w:rPr>
        <w:t xml:space="preserve">1.5</w:t>
      </w:r>
      <w:r>
        <w:tab/>
      </w:r>
      <w:r>
        <w:t xml:space="preserve">Intended audience</w:t>
      </w:r>
    </w:p>
    <w:p>
      <w:pPr>
        <w:pStyle w:val="FirstParagraph"/>
      </w:pPr>
      <w:r>
        <w:t xml:space="preserve">We aim for three broad audiences:</w:t>
      </w:r>
    </w:p>
    <w:p>
      <w:pPr>
        <w:numPr>
          <w:ilvl w:val="0"/>
          <w:numId w:val="1005"/>
        </w:numPr>
        <w:pStyle w:val="Compact"/>
      </w:pPr>
      <w:r>
        <w:t xml:space="preserve">Professionals in the field of child growth and development;</w:t>
      </w:r>
    </w:p>
    <w:p>
      <w:pPr>
        <w:numPr>
          <w:ilvl w:val="0"/>
          <w:numId w:val="1005"/>
        </w:numPr>
        <w:pStyle w:val="Compact"/>
      </w:pPr>
      <w:r>
        <w:t xml:space="preserve">Policymakers in international settings;</w:t>
      </w:r>
    </w:p>
    <w:p>
      <w:pPr>
        <w:numPr>
          <w:ilvl w:val="0"/>
          <w:numId w:val="1005"/>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booklet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BodyTex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BodyTex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bookmarkEnd w:id="32"/>
    <w:bookmarkEnd w:id="33"/>
    <w:bookmarkStart w:id="39" w:name="ch:data"/>
    <w:p>
      <w:pPr>
        <w:pStyle w:val="Heading1"/>
      </w:pPr>
      <w:r>
        <w:rPr>
          <w:rStyle w:val="SectionNumber"/>
        </w:rPr>
        <w:t xml:space="preserve">2</w:t>
      </w:r>
      <w:r>
        <w:tab/>
      </w:r>
      <w:r>
        <w:t xml:space="preserve">Data</w:t>
      </w:r>
    </w:p>
    <w:p>
      <w:pPr>
        <w:pStyle w:val="BlockText"/>
      </w:pPr>
      <w:r>
        <w:t xml:space="preserve">Author: Iris Eekhout</w:t>
      </w:r>
    </w:p>
    <w:p>
      <w:pPr>
        <w:pStyle w:val="FirstParagraph"/>
      </w:pPr>
      <w:r>
        <w:t xml:space="preserve">This booklet explains the methodology for obtaining a comparable developmental score (D-score) from different instruments. This chapter introduces the data that will illustrate our approach. The data originates from a study by the Global Child Development Group (GCDG), that brought together longitudinal measurement on child development data from 16 cohorts worldwide.</w:t>
      </w:r>
    </w:p>
    <w:p>
      <w:pPr>
        <w:numPr>
          <w:ilvl w:val="0"/>
          <w:numId w:val="1006"/>
        </w:numPr>
        <w:pStyle w:val="Compact"/>
      </w:pPr>
      <w:r>
        <w:t xml:space="preserve">Overview of cohorts and instrument (</w:t>
      </w:r>
      <w:r>
        <w:t xml:space="preserve">2.1</w:t>
      </w:r>
      <w:r>
        <w:t xml:space="preserve">)</w:t>
      </w:r>
    </w:p>
    <w:p>
      <w:pPr>
        <w:numPr>
          <w:ilvl w:val="0"/>
          <w:numId w:val="1006"/>
        </w:numPr>
        <w:pStyle w:val="Compact"/>
      </w:pPr>
      <w:r>
        <w:t xml:space="preserve">Cohort descriptions (</w:t>
      </w:r>
      <w:r>
        <w:t xml:space="preserve">2.2</w:t>
      </w:r>
      <w:r>
        <w:t xml:space="preserve">)</w:t>
      </w:r>
    </w:p>
    <w:p>
      <w:pPr>
        <w:numPr>
          <w:ilvl w:val="0"/>
          <w:numId w:val="1006"/>
        </w:numPr>
        <w:pStyle w:val="Compact"/>
      </w:pPr>
      <w:r>
        <w:t xml:space="preserve">Instruments (</w:t>
      </w:r>
      <w:r>
        <w:t xml:space="preserve">2.3</w:t>
      </w:r>
      <w:r>
        <w:t xml:space="preserve">)</w:t>
      </w:r>
    </w:p>
    <w:bookmarkStart w:id="35" w:name="sec:gcdgoverview"/>
    <w:p>
      <w:pPr>
        <w:pStyle w:val="Heading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7"/>
        </w:numPr>
        <w:pStyle w:val="Compact"/>
      </w:pPr>
      <w:r>
        <w:t xml:space="preserve">direct assessment of child development;</w:t>
      </w:r>
    </w:p>
    <w:p>
      <w:pPr>
        <w:numPr>
          <w:ilvl w:val="0"/>
          <w:numId w:val="1007"/>
        </w:numPr>
        <w:pStyle w:val="Compact"/>
      </w:pPr>
      <w:r>
        <w:t xml:space="preserve">availability of individual milestone scores;</w:t>
      </w:r>
    </w:p>
    <w:p>
      <w:pPr>
        <w:numPr>
          <w:ilvl w:val="0"/>
          <w:numId w:val="1007"/>
        </w:numPr>
        <w:pStyle w:val="Compact"/>
      </w:pPr>
      <w:r>
        <w:t xml:space="preserve">spanning ages between 0-5 years;</w:t>
      </w:r>
    </w:p>
    <w:p>
      <w:pPr>
        <w:numPr>
          <w:ilvl w:val="0"/>
          <w:numId w:val="1007"/>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334000" cy="26670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BodyTex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asq</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5"/>
    <w:bookmarkStart w:id="37" w:name="sec:cohorts"/>
    <w:p>
      <w:pPr>
        <w:pStyle w:val="Heading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colored according to the instruments.</w:t>
      </w:r>
    </w:p>
    <w:p>
      <w:pPr>
        <w:pStyle w:val="CaptionedFigure"/>
      </w:pPr>
      <w:r>
        <w:drawing>
          <wp:inline>
            <wp:extent cx="5334000" cy="2667000"/>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BodyText"/>
      </w:pPr>
      <w:r>
        <w:t xml:space="preserve">A brief description of each cohort follows:</w:t>
      </w:r>
    </w:p>
    <w:p>
      <w:pPr>
        <w:pStyle w:val="BodyTex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BodyTex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BodyTex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BodyTex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BodyTex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BodyTex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BodyTex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BodyTex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asq</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BodyText"/>
      </w:pPr>
      <w:r>
        <w:t xml:space="preserve">An impact evaluation study in</w:t>
      </w:r>
      <w:r>
        <w:t xml:space="preserve"> </w:t>
      </w:r>
      <w:r>
        <w:rPr>
          <w:b/>
        </w:rPr>
        <w:t xml:space="preserve">Ecuador</w:t>
      </w:r>
      <w:r>
        <w:t xml:space="preserve"> </w:t>
      </w:r>
      <w:r>
        <w:t xml:space="preserve">(GCDG-ECU)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BodyText"/>
      </w:pPr>
      <w:r>
        <w:t xml:space="preserve">The</w:t>
      </w:r>
      <w:r>
        <w:t xml:space="preserve"> </w:t>
      </w:r>
      <w:r>
        <w:rPr>
          <w:b/>
        </w:rPr>
        <w:t xml:space="preserve">Ethiopia</w:t>
      </w:r>
      <w:r>
        <w:t xml:space="preserve"> </w:t>
      </w:r>
      <w:r>
        <w:t xml:space="preserve">study (GCDG-ETH)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BodyText"/>
      </w:pP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BodyTex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BodyTex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BodyTex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BodyTex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BodyTex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7"/>
    <w:bookmarkStart w:id="38" w:name="sec:instruments"/>
    <w:p>
      <w:pPr>
        <w:pStyle w:val="Heading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BodyTex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BodyTex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BodyTex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BodyTex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BodyTex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BodyTex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BodyTex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BodyText"/>
      </w:pPr>
      <w:r>
        <w:t xml:space="preserve">The</w:t>
      </w:r>
      <w:r>
        <w:t xml:space="preserve"> </w:t>
      </w:r>
      <w:r>
        <w:rPr>
          <w:b/>
        </w:rPr>
        <w:t xml:space="preserve">Ages and Stages Questionnaire (</w:t>
      </w:r>
      <w:r>
        <w:rPr>
          <w:rStyle w:val="VerbatimChar"/>
          <w:b/>
        </w:rPr>
        <w:t xml:space="preserve">asq</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BodyTex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bookmarkEnd w:id="38"/>
    <w:bookmarkEnd w:id="39"/>
    <w:bookmarkStart w:id="47" w:name="ch:comparability"/>
    <w:p>
      <w:pPr>
        <w:pStyle w:val="Heading1"/>
      </w:pPr>
      <w:r>
        <w:rPr>
          <w:rStyle w:val="SectionNumber"/>
        </w:rPr>
        <w:t xml:space="preserve">3</w:t>
      </w:r>
      <w:r>
        <w:tab/>
      </w:r>
      <w:r>
        <w:t xml:space="preserve">Comparability</w:t>
      </w:r>
    </w:p>
    <w:p>
      <w:pPr>
        <w:pStyle w:val="BlockText"/>
      </w:pPr>
      <w:r>
        <w:t xml:space="preserve">Author: Iris Eekhout, Stef van Buuren</w:t>
      </w:r>
    </w:p>
    <w:p>
      <w:pPr>
        <w:pStyle w:val="FirstParagraph"/>
      </w:pPr>
      <w:r>
        <w:t xml:space="preserve">This chapter describes challenges and methodologies to harmonize child development measurements obtained by different instruments:</w:t>
      </w:r>
    </w:p>
    <w:p>
      <w:pPr>
        <w:numPr>
          <w:ilvl w:val="0"/>
          <w:numId w:val="1008"/>
        </w:numPr>
        <w:pStyle w:val="Compact"/>
      </w:pPr>
      <w:r>
        <w:t xml:space="preserve">Are instruments connected? (</w:t>
      </w:r>
      <w:r>
        <w:t xml:space="preserve">3.1</w:t>
      </w:r>
      <w:r>
        <w:t xml:space="preserve">)</w:t>
      </w:r>
    </w:p>
    <w:p>
      <w:pPr>
        <w:numPr>
          <w:ilvl w:val="0"/>
          <w:numId w:val="1008"/>
        </w:numPr>
        <w:pStyle w:val="Compact"/>
      </w:pPr>
      <w:r>
        <w:t xml:space="preserve">Bridging instruments by mapping items (</w:t>
      </w:r>
      <w:r>
        <w:t xml:space="preserve">3.2</w:t>
      </w:r>
      <w:r>
        <w:t xml:space="preserve">)</w:t>
      </w:r>
    </w:p>
    <w:p>
      <w:pPr>
        <w:numPr>
          <w:ilvl w:val="0"/>
          <w:numId w:val="1008"/>
        </w:numPr>
        <w:pStyle w:val="Compact"/>
      </w:pPr>
      <w:r>
        <w:t xml:space="preserve">Overview of promising item mappings (</w:t>
      </w:r>
      <w:r>
        <w:t xml:space="preserve">3.3</w:t>
      </w:r>
      <w:r>
        <w:t xml:space="preserve">)</w:t>
      </w:r>
    </w:p>
    <w:bookmarkStart w:id="41" w:name="sec:challenge"/>
    <w:p>
      <w:pPr>
        <w:pStyle w:val="Heading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09"/>
        </w:numPr>
        <w:pStyle w:val="Compact"/>
      </w:pPr>
      <w:r>
        <w:t xml:space="preserve">Every milestone in an instrument has a unique name and a descriptive label;</w:t>
      </w:r>
    </w:p>
    <w:p>
      <w:pPr>
        <w:numPr>
          <w:ilvl w:val="0"/>
          <w:numId w:val="1009"/>
        </w:numPr>
        <w:pStyle w:val="Compact"/>
      </w:pPr>
      <w:r>
        <w:t xml:space="preserve">Every milestone occupies one column in the dataset;</w:t>
      </w:r>
    </w:p>
    <w:p>
      <w:pPr>
        <w:numPr>
          <w:ilvl w:val="0"/>
          <w:numId w:val="1009"/>
        </w:numPr>
        <w:pStyle w:val="Compact"/>
      </w:pPr>
      <w:r>
        <w:t xml:space="preserve">Item scores are (re)coded as: 1 = PASS; 0 = FAIL;</w:t>
      </w:r>
    </w:p>
    <w:p>
      <w:pPr>
        <w:numPr>
          <w:ilvl w:val="0"/>
          <w:numId w:val="1009"/>
        </w:numPr>
        <w:pStyle w:val="Compact"/>
      </w:pPr>
      <w:r>
        <w:t xml:space="preserve">Items not administered or not answered are a missing value;</w:t>
      </w:r>
    </w:p>
    <w:p>
      <w:pPr>
        <w:numPr>
          <w:ilvl w:val="0"/>
          <w:numId w:val="1009"/>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0"/>
        </w:numPr>
        <w:pStyle w:val="Compact"/>
      </w:pPr>
      <w:r>
        <w:t xml:space="preserve">Two cohorts are directly connected if they use the same instrument;</w:t>
      </w:r>
    </w:p>
    <w:p>
      <w:pPr>
        <w:numPr>
          <w:ilvl w:val="0"/>
          <w:numId w:val="1010"/>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1"/>
        </w:numPr>
        <w:pStyle w:val="Compact"/>
      </w:pPr>
      <w:r>
        <w:t xml:space="preserve">Two instruments are directly connected if the same cohort measures both;</w:t>
      </w:r>
    </w:p>
    <w:p>
      <w:pPr>
        <w:numPr>
          <w:ilvl w:val="0"/>
          <w:numId w:val="1011"/>
        </w:numPr>
        <w:pStyle w:val="Compact"/>
      </w:pPr>
      <w:r>
        <w:t xml:space="preserve">Two instruments are indirectly connected if both connect to a third instrument that connects them.</w:t>
      </w:r>
    </w:p>
    <w:p>
      <w:pPr>
        <w:pStyle w:val="FirstParagraph"/>
      </w:pPr>
      <w:r>
        <w:t xml:space="preserve">Table 3.1: Linkage pattern indicating combinations of cohorts and instruments.</w:t>
      </w:r>
    </w:p>
    <w:p>
      <w:pPr>
        <w:pStyle w:val="BodyText"/>
      </w:pPr>
      <w:r>
        <w:t xml:space="preserve">aqi</w:t>
      </w:r>
    </w:p>
    <w:p>
      <w:pPr>
        <w:pStyle w:val="BodyText"/>
      </w:pPr>
      <w:r>
        <w:t xml:space="preserve">bar</w:t>
      </w:r>
    </w:p>
    <w:p>
      <w:pPr>
        <w:pStyle w:val="BodyText"/>
      </w:pPr>
      <w:r>
        <w:t xml:space="preserve">bat</w:t>
      </w:r>
    </w:p>
    <w:p>
      <w:pPr>
        <w:pStyle w:val="BodyText"/>
      </w:pPr>
      <w:r>
        <w:t xml:space="preserve">by1</w:t>
      </w:r>
    </w:p>
    <w:p>
      <w:pPr>
        <w:pStyle w:val="BodyText"/>
      </w:pPr>
      <w:r>
        <w:t xml:space="preserve">by2</w:t>
      </w:r>
    </w:p>
    <w:p>
      <w:pPr>
        <w:pStyle w:val="BodyText"/>
      </w:pPr>
      <w:r>
        <w:t xml:space="preserve">by3</w:t>
      </w:r>
    </w:p>
    <w:p>
      <w:pPr>
        <w:pStyle w:val="BodyText"/>
      </w:pPr>
      <w:r>
        <w:t xml:space="preserve">ddi</w:t>
      </w:r>
    </w:p>
    <w:p>
      <w:pPr>
        <w:pStyle w:val="BodyText"/>
      </w:pPr>
      <w:r>
        <w:t xml:space="preserve">den</w:t>
      </w:r>
    </w:p>
    <w:p>
      <w:pPr>
        <w:pStyle w:val="BodyText"/>
      </w:pPr>
      <w:r>
        <w:t xml:space="preserve">gri</w:t>
      </w:r>
    </w:p>
    <w:p>
      <w:pPr>
        <w:pStyle w:val="BodyText"/>
      </w:pPr>
      <w:r>
        <w:t xml:space="preserve">mac</w:t>
      </w:r>
    </w:p>
    <w:p>
      <w:pPr>
        <w:pStyle w:val="BodyText"/>
      </w:pPr>
      <w:r>
        <w:t xml:space="preserve">peg</w:t>
      </w:r>
    </w:p>
    <w:p>
      <w:pPr>
        <w:pStyle w:val="BodyText"/>
      </w:pPr>
      <w:r>
        <w:t xml:space="preserve">sbi</w:t>
      </w:r>
    </w:p>
    <w:p>
      <w:pPr>
        <w:pStyle w:val="BodyText"/>
      </w:pPr>
      <w:r>
        <w:t xml:space="preserve">sgr</w:t>
      </w:r>
    </w:p>
    <w:p>
      <w:pPr>
        <w:pStyle w:val="BodyText"/>
      </w:pPr>
      <w:r>
        <w:t xml:space="preserve">tep</w:t>
      </w:r>
    </w:p>
    <w:p>
      <w:pPr>
        <w:pStyle w:val="BodyText"/>
      </w:pPr>
      <w:r>
        <w:t xml:space="preserve">vin</w:t>
      </w:r>
    </w:p>
    <w:p>
      <w:pPr>
        <w:pStyle w:val="BodyText"/>
      </w:pPr>
      <w:r>
        <w:t xml:space="preserve">Bangladesh</w:t>
      </w:r>
    </w:p>
    <w:p>
      <w:pPr>
        <w:pStyle w:val="BodyText"/>
      </w:pPr>
      <w:r>
        <w:t xml:space="preserve">X</w:t>
      </w:r>
    </w:p>
    <w:p>
      <w:pPr>
        <w:pStyle w:val="BodyText"/>
      </w:pPr>
      <w:r>
        <w:t xml:space="preserve">Brazil 1</w:t>
      </w:r>
    </w:p>
    <w:p>
      <w:pPr>
        <w:pStyle w:val="BodyText"/>
      </w:pPr>
      <w:r>
        <w:t xml:space="preserve">X</w:t>
      </w:r>
    </w:p>
    <w:p>
      <w:pPr>
        <w:pStyle w:val="BodyText"/>
      </w:pPr>
      <w:r>
        <w:t xml:space="preserve">Brazil 2</w:t>
      </w:r>
    </w:p>
    <w:p>
      <w:pPr>
        <w:pStyle w:val="BodyText"/>
      </w:pPr>
      <w:r>
        <w:t xml:space="preserve">X</w:t>
      </w:r>
    </w:p>
    <w:p>
      <w:pPr>
        <w:pStyle w:val="BodyText"/>
      </w:pPr>
      <w:r>
        <w:t xml:space="preserve">Chile 1</w:t>
      </w:r>
    </w:p>
    <w:p>
      <w:pPr>
        <w:pStyle w:val="BodyText"/>
      </w:pPr>
      <w:r>
        <w:t xml:space="preserve">X</w:t>
      </w:r>
    </w:p>
    <w:p>
      <w:pPr>
        <w:pStyle w:val="BodyText"/>
      </w:pPr>
      <w:r>
        <w:t xml:space="preserve">Chile 2</w:t>
      </w:r>
    </w:p>
    <w:p>
      <w:pPr>
        <w:pStyle w:val="BodyText"/>
      </w:pPr>
      <w:r>
        <w:t xml:space="preserve">X</w:t>
      </w:r>
    </w:p>
    <w:p>
      <w:pPr>
        <w:pStyle w:val="BodyText"/>
      </w:pPr>
      <w:r>
        <w:t xml:space="preserve">X</w:t>
      </w:r>
    </w:p>
    <w:p>
      <w:pPr>
        <w:pStyle w:val="BodyText"/>
      </w:pPr>
      <w:r>
        <w:t xml:space="preserve">China</w:t>
      </w:r>
    </w:p>
    <w:p>
      <w:pPr>
        <w:pStyle w:val="BodyText"/>
      </w:pPr>
      <w:r>
        <w:t xml:space="preserve">X</w:t>
      </w:r>
    </w:p>
    <w:p>
      <w:pPr>
        <w:pStyle w:val="BodyText"/>
      </w:pPr>
      <w:r>
        <w:t xml:space="preserve">Colombia 1</w:t>
      </w:r>
    </w:p>
    <w:p>
      <w:pPr>
        <w:pStyle w:val="BodyText"/>
      </w:pPr>
      <w:r>
        <w:t xml:space="preserve">X</w:t>
      </w:r>
    </w:p>
    <w:p>
      <w:pPr>
        <w:pStyle w:val="BodyText"/>
      </w:pPr>
      <w:r>
        <w:t xml:space="preserve">Colombia 2</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Ecuador</w:t>
      </w:r>
    </w:p>
    <w:p>
      <w:pPr>
        <w:pStyle w:val="BodyText"/>
      </w:pPr>
      <w:r>
        <w:t xml:space="preserve">X</w:t>
      </w:r>
    </w:p>
    <w:p>
      <w:pPr>
        <w:pStyle w:val="BodyText"/>
      </w:pPr>
      <w:r>
        <w:t xml:space="preserve">Ethiopia</w:t>
      </w:r>
    </w:p>
    <w:p>
      <w:pPr>
        <w:pStyle w:val="BodyText"/>
      </w:pPr>
      <w:r>
        <w:t xml:space="preserve">X</w:t>
      </w:r>
    </w:p>
    <w:p>
      <w:pPr>
        <w:pStyle w:val="BodyText"/>
      </w:pPr>
      <w:r>
        <w:t xml:space="preserve">Jamaica 1</w:t>
      </w:r>
    </w:p>
    <w:p>
      <w:pPr>
        <w:pStyle w:val="BodyText"/>
      </w:pPr>
      <w:r>
        <w:t xml:space="preserve">X</w:t>
      </w:r>
    </w:p>
    <w:p>
      <w:pPr>
        <w:pStyle w:val="BodyText"/>
      </w:pPr>
      <w:r>
        <w:t xml:space="preserve">Jamaica 2</w:t>
      </w:r>
    </w:p>
    <w:p>
      <w:pPr>
        <w:pStyle w:val="BodyText"/>
      </w:pPr>
      <w:r>
        <w:t xml:space="preserve">X</w:t>
      </w:r>
    </w:p>
    <w:p>
      <w:pPr>
        <w:pStyle w:val="BodyText"/>
      </w:pPr>
      <w:r>
        <w:t xml:space="preserve">Madagascar</w:t>
      </w:r>
    </w:p>
    <w:p>
      <w:pPr>
        <w:pStyle w:val="BodyText"/>
      </w:pPr>
      <w:r>
        <w:t xml:space="preserve">X</w:t>
      </w:r>
    </w:p>
    <w:p>
      <w:pPr>
        <w:pStyle w:val="BodyText"/>
      </w:pPr>
      <w:r>
        <w:t xml:space="preserve">X</w:t>
      </w:r>
    </w:p>
    <w:p>
      <w:pPr>
        <w:pStyle w:val="BodyText"/>
      </w:pPr>
      <w:r>
        <w:t xml:space="preserve">X</w:t>
      </w:r>
    </w:p>
    <w:p>
      <w:pPr>
        <w:pStyle w:val="BodyText"/>
      </w:pPr>
      <w:r>
        <w:t xml:space="preserve">Netherlands1</w:t>
      </w:r>
    </w:p>
    <w:p>
      <w:pPr>
        <w:pStyle w:val="BodyText"/>
      </w:pPr>
      <w:r>
        <w:t xml:space="preserve">X</w:t>
      </w:r>
    </w:p>
    <w:p>
      <w:pPr>
        <w:pStyle w:val="BodyText"/>
      </w:pPr>
      <w:r>
        <w:t xml:space="preserve">Netherlands2</w:t>
      </w:r>
    </w:p>
    <w:p>
      <w:pPr>
        <w:pStyle w:val="BodyText"/>
      </w:pPr>
      <w:r>
        <w:t xml:space="preserve">X</w:t>
      </w:r>
    </w:p>
    <w:p>
      <w:pPr>
        <w:pStyle w:val="BodyText"/>
      </w:pPr>
      <w:r>
        <w:t xml:space="preserve">South Africa</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 </w:t>
      </w:r>
    </w:p>
    <w:p>
      <w:pPr>
        <w:pStyle w:val="BodyTex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BodyTex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0">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BodyText"/>
      </w:pPr>
      <w:r>
        <w:t xml:space="preserve">Connectedness is a necessary - though not sufficient - requirement for parameter identification. If two cohorts are not connected, we cannot distinguish between the following two alternative explanations:</w:t>
      </w:r>
    </w:p>
    <w:p>
      <w:pPr>
        <w:numPr>
          <w:ilvl w:val="0"/>
          <w:numId w:val="1012"/>
        </w:numPr>
        <w:pStyle w:val="Compact"/>
      </w:pPr>
      <w:r>
        <w:t xml:space="preserve">Any differences between studies can be attributed to the ability of the children;</w:t>
      </w:r>
    </w:p>
    <w:p>
      <w:pPr>
        <w:numPr>
          <w:ilvl w:val="0"/>
          <w:numId w:val="1012"/>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BodyText"/>
      </w:pPr>
      <w:r>
        <w:t xml:space="preserve">The next section suggests a way out of the dilemma.</w:t>
      </w:r>
    </w:p>
    <w:bookmarkEnd w:id="41"/>
    <w:bookmarkStart w:id="43" w:name="sec:mapping"/>
    <w:p>
      <w:pPr>
        <w:pStyle w:val="Heading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BodyText"/>
      </w:pPr>
      <w:r>
        <w:t xml:space="preserve">Table 3.2: Example of similar items from different instruments.</w:t>
      </w:r>
    </w:p>
    <w:p>
      <w:pPr>
        <w:pStyle w:val="BodyText"/>
      </w:pPr>
      <w:r>
        <w:t xml:space="preserve">Item</w:t>
      </w:r>
    </w:p>
    <w:p>
      <w:pPr>
        <w:pStyle w:val="BodyText"/>
      </w:pPr>
      <w:r>
        <w:t xml:space="preserve">Label</w:t>
      </w:r>
    </w:p>
    <w:p>
      <w:pPr>
        <w:pStyle w:val="BodyText"/>
      </w:pPr>
      <w:r>
        <w:t xml:space="preserve">by1mdd136</w:t>
      </w:r>
    </w:p>
    <w:p>
      <w:pPr>
        <w:pStyle w:val="BodyText"/>
      </w:pPr>
      <w:r>
        <w:t xml:space="preserve">sentence of 2 words</w:t>
      </w:r>
    </w:p>
    <w:p>
      <w:pPr>
        <w:pStyle w:val="BodyText"/>
      </w:pPr>
      <w:r>
        <w:t xml:space="preserve">by2mdd114</w:t>
      </w:r>
    </w:p>
    <w:p>
      <w:pPr>
        <w:pStyle w:val="BodyText"/>
      </w:pPr>
      <w:r>
        <w:t xml:space="preserve">Uses a two-word utterance</w:t>
      </w:r>
    </w:p>
    <w:p>
      <w:pPr>
        <w:pStyle w:val="BodyText"/>
      </w:pPr>
      <w:r>
        <w:t xml:space="preserve">ddicmm041</w:t>
      </w:r>
    </w:p>
    <w:p>
      <w:pPr>
        <w:pStyle w:val="BodyText"/>
      </w:pPr>
      <w:r>
        <w:t xml:space="preserve">Says sentences with 2 words</w:t>
      </w:r>
    </w:p>
    <w:p>
      <w:pPr>
        <w:pStyle w:val="BodyText"/>
      </w:pPr>
      <w:r>
        <w:t xml:space="preserve">denlgd019</w:t>
      </w:r>
    </w:p>
    <w:p>
      <w:pPr>
        <w:pStyle w:val="BodyText"/>
      </w:pPr>
      <w:r>
        <w:t xml:space="preserve">Combine Words</w:t>
      </w:r>
    </w:p>
    <w:p>
      <w:pPr>
        <w:pStyle w:val="BodyText"/>
      </w:pPr>
      <w:r>
        <w:t xml:space="preserve">grihsd217</w:t>
      </w:r>
    </w:p>
    <w:p>
      <w:pPr>
        <w:pStyle w:val="BodyText"/>
      </w:pPr>
      <w:r>
        <w:t xml:space="preserve">Uses word combinations</w:t>
      </w:r>
    </w:p>
    <w:p>
      <w:pPr>
        <w:pStyle w:val="BodyText"/>
      </w:pPr>
      <w:r>
        <w:t xml:space="preserve">vinxxc016</w:t>
      </w:r>
    </w:p>
    <w:p>
      <w:pPr>
        <w:pStyle w:val="BodyText"/>
      </w:pPr>
      <w:r>
        <w:t xml:space="preserve">use a short sentence</w:t>
      </w:r>
    </w:p>
    <w:p>
      <w:pPr>
        <w:pStyle w:val="BodyText"/>
      </w:pPr>
      <w:r>
        <w:t xml:space="preserve"> </w:t>
      </w:r>
    </w:p>
    <w:p>
      <w:pPr>
        <w:pStyle w:val="BodyTex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BodyTex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CaptionedFigure"/>
      </w:pPr>
      <w:r>
        <w:drawing>
          <wp:inline>
            <wp:extent cx="5334000" cy="5312004"/>
            <wp:effectExtent b="0" l="0" r="0" t="0"/>
            <wp:docPr descr="Figure 3.1: Connections between the instruments via mapped item groups by domain." title="" id="1" name="Picture"/>
            <a:graphic>
              <a:graphicData uri="http://schemas.openxmlformats.org/drawingml/2006/picture">
                <pic:pic>
                  <pic:nvPicPr>
                    <pic:cNvPr descr="fig/ring.png" id="0" name="Picture"/>
                    <pic:cNvPicPr>
                      <a:picLocks noChangeArrowheads="1" noChangeAspect="1"/>
                    </pic:cNvPicPr>
                  </pic:nvPicPr>
                  <pic:blipFill>
                    <a:blip r:embed="rId42"/>
                    <a:stretch>
                      <a:fillRect/>
                    </a:stretch>
                  </pic:blipFill>
                  <pic:spPr bwMode="auto">
                    <a:xfrm>
                      <a:off x="0" y="0"/>
                      <a:ext cx="5334000" cy="5312004"/>
                    </a:xfrm>
                    <a:prstGeom prst="rect">
                      <a:avLst/>
                    </a:prstGeom>
                    <a:noFill/>
                    <a:ln w="9525">
                      <a:noFill/>
                      <a:headEnd/>
                      <a:tailEnd/>
                    </a:ln>
                  </pic:spPr>
                </pic:pic>
              </a:graphicData>
            </a:graphic>
          </wp:inline>
        </w:drawing>
      </w:r>
    </w:p>
    <w:p>
      <w:pPr>
        <w:pStyle w:val="ImageCaption"/>
      </w:pPr>
      <w:r>
        <w:t xml:space="preserve">Figure 3.1: Connections between the instruments via mapped item groups by domain.</w:t>
      </w:r>
    </w:p>
    <w:p>
      <w:pPr>
        <w:pStyle w:val="BodyText"/>
      </w:pPr>
      <w:r>
        <w:t xml:space="preserve">Figure</w:t>
      </w:r>
      <w:r>
        <w:t xml:space="preserve"> </w:t>
      </w:r>
      <w:r>
        <w:t xml:space="preserve">3.1</w:t>
      </w:r>
      <w:r>
        <w:t xml:space="preserve"> </w:t>
      </w:r>
      <w:r>
        <w:t xml:space="preserve">connects similar items and hence visualises connections between instruments. Items are displayed in the wheel, colored by instrument. Hovering over the items highlights the item description and its connections to similar items.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3"/>
    <w:bookmarkStart w:id="46" w:name="sec:viewmapping"/>
    <w:p>
      <w:pPr>
        <w:pStyle w:val="Heading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334000" cy="5334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BodyTex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334000" cy="5334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BodyTex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3"/>
        </w:numPr>
        <w:pStyle w:val="Compact"/>
      </w:pPr>
      <w:r>
        <w:t xml:space="preserve">A and B are equally difficult and samples 1 and 2 have the same maturation level;</w:t>
      </w:r>
    </w:p>
    <w:p>
      <w:pPr>
        <w:numPr>
          <w:ilvl w:val="0"/>
          <w:numId w:val="1013"/>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4"/>
        </w:numPr>
        <w:pStyle w:val="Compact"/>
      </w:pPr>
      <w:r>
        <w:t xml:space="preserve">A is easier than B and if samples 1 and 2 have the same level of maturation;</w:t>
      </w:r>
    </w:p>
    <w:p>
      <w:pPr>
        <w:numPr>
          <w:ilvl w:val="0"/>
          <w:numId w:val="1014"/>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BodyText"/>
      </w:pPr>
      <w:r>
        <w:t xml:space="preserve">What we need to do is separate difficulty and ability. For this, we need a formal statistical model. The next chapter introduces the concepts required in such a model.</w:t>
      </w:r>
    </w:p>
    <w:bookmarkEnd w:id="46"/>
    <w:bookmarkEnd w:id="47"/>
    <w:bookmarkStart w:id="71" w:name="ch:equategroups"/>
    <w:p>
      <w:pPr>
        <w:pStyle w:val="Heading1"/>
      </w:pPr>
      <w:r>
        <w:rPr>
          <w:rStyle w:val="SectionNumber"/>
        </w:rPr>
        <w:t xml:space="preserve">4</w:t>
      </w:r>
      <w:r>
        <w:tab/>
      </w:r>
      <w:r>
        <w:t xml:space="preserve">Equate groups</w:t>
      </w:r>
    </w:p>
    <w:p>
      <w:pPr>
        <w:pStyle w:val="BlockText"/>
      </w:pPr>
      <w:r>
        <w:t xml:space="preserve">Author: Iris Eekhout, Stef van Buuren</w:t>
      </w:r>
    </w:p>
    <w:p>
      <w:pPr>
        <w:pStyle w:val="FirstParagraph"/>
      </w:pPr>
      <w:r>
        <w:t xml:space="preserve">This chapter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5"/>
        </w:numPr>
        <w:pStyle w:val="Compact"/>
      </w:pPr>
      <w:r>
        <w:t xml:space="preserve">What is an equate group? (</w:t>
      </w:r>
      <w:r>
        <w:t xml:space="preserve">4.1</w:t>
      </w:r>
      <w:r>
        <w:t xml:space="preserve">)</w:t>
      </w:r>
    </w:p>
    <w:p>
      <w:pPr>
        <w:numPr>
          <w:ilvl w:val="0"/>
          <w:numId w:val="1015"/>
        </w:numPr>
        <w:pStyle w:val="Compact"/>
      </w:pPr>
      <w:r>
        <w:t xml:space="preserve">Concurrent calibration (</w:t>
      </w:r>
      <w:r>
        <w:t xml:space="preserve">4.2</w:t>
      </w:r>
      <w:r>
        <w:t xml:space="preserve">)</w:t>
      </w:r>
    </w:p>
    <w:p>
      <w:pPr>
        <w:numPr>
          <w:ilvl w:val="0"/>
          <w:numId w:val="1015"/>
        </w:numPr>
        <w:pStyle w:val="Compact"/>
      </w:pPr>
      <w:r>
        <w:t xml:space="preserve">Strategy to form and test equate groups (</w:t>
      </w:r>
      <w:r>
        <w:t xml:space="preserve">4.3</w:t>
      </w:r>
      <w:r>
        <w:t xml:space="preserve">)</w:t>
      </w:r>
    </w:p>
    <w:p>
      <w:pPr>
        <w:numPr>
          <w:ilvl w:val="0"/>
          <w:numId w:val="1015"/>
        </w:numPr>
        <w:pStyle w:val="Compact"/>
      </w:pPr>
      <w:r>
        <w:t xml:space="preserve">Statistical framework (</w:t>
      </w:r>
      <w:r>
        <w:t xml:space="preserve">4.4</w:t>
      </w:r>
      <w:r>
        <w:t xml:space="preserve">)</w:t>
      </w:r>
    </w:p>
    <w:p>
      <w:pPr>
        <w:numPr>
          <w:ilvl w:val="0"/>
          <w:numId w:val="1015"/>
        </w:numPr>
        <w:pStyle w:val="Compact"/>
      </w:pPr>
      <w:r>
        <w:t xml:space="preserve">Common latent scale (</w:t>
      </w:r>
      <w:r>
        <w:t xml:space="preserve">4.5</w:t>
      </w:r>
      <w:r>
        <w:t xml:space="preserve">)</w:t>
      </w:r>
    </w:p>
    <w:p>
      <w:pPr>
        <w:numPr>
          <w:ilvl w:val="0"/>
          <w:numId w:val="1015"/>
        </w:numPr>
        <w:pStyle w:val="Compact"/>
      </w:pPr>
      <w:r>
        <w:t xml:space="preserve">Quantifying equate fit (</w:t>
      </w:r>
      <w:r>
        <w:t xml:space="preserve">4.6</w:t>
      </w:r>
      <w:r>
        <w:t xml:space="preserve">)</w:t>
      </w:r>
    </w:p>
    <w:p>
      <w:pPr>
        <w:numPr>
          <w:ilvl w:val="0"/>
          <w:numId w:val="1015"/>
        </w:numPr>
        <w:pStyle w:val="Compact"/>
      </w:pPr>
      <w:r>
        <w:t xml:space="preserve">Differential Item Functioning (</w:t>
      </w:r>
      <w:r>
        <w:t xml:space="preserve">4.7</w:t>
      </w:r>
      <w:r>
        <w:t xml:space="preserve">)</w:t>
      </w:r>
    </w:p>
    <w:bookmarkStart w:id="49" w:name="sec:eqdef"/>
    <w:p>
      <w:pPr>
        <w:pStyle w:val="Heading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BodyTex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48"/>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BodyTex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49"/>
    <w:bookmarkStart w:id="50" w:name="sec:concurrent"/>
    <w:p>
      <w:pPr>
        <w:pStyle w:val="Heading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BodyTex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6"/>
        </w:numPr>
        <w:pStyle w:val="Compact"/>
      </w:pPr>
      <w:r>
        <w:t xml:space="preserve">It yields a common latent scale across all instruments;</w:t>
      </w:r>
    </w:p>
    <w:p>
      <w:pPr>
        <w:numPr>
          <w:ilvl w:val="0"/>
          <w:numId w:val="1016"/>
        </w:numPr>
        <w:pStyle w:val="Compact"/>
      </w:pPr>
      <w:r>
        <w:t xml:space="preserve">It is efficient because it calibrates all items in a single run;</w:t>
      </w:r>
    </w:p>
    <w:p>
      <w:pPr>
        <w:numPr>
          <w:ilvl w:val="0"/>
          <w:numId w:val="1016"/>
        </w:numPr>
        <w:pStyle w:val="Compact"/>
      </w:pPr>
      <w:r>
        <w:t xml:space="preserve">It produces more stable estimates for shared items in small samples.</w:t>
      </w:r>
    </w:p>
    <w:p>
      <w:pPr>
        <w:pStyle w:val="FirstParagraph"/>
      </w:pPr>
      <w:r>
        <w:t xml:space="preserve">However, concurrent calibration depends on a strict distinction between items that are indeed the same across instruments and items that differ.</w:t>
      </w:r>
    </w:p>
    <w:p>
      <w:pPr>
        <w:pStyle w:val="BodyTex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BodyTex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0"/>
    <w:bookmarkStart w:id="52" w:name="sec:equaterules"/>
    <w:p>
      <w:pPr>
        <w:pStyle w:val="Heading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7"/>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7"/>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334000" cy="7112000"/>
            <wp:effectExtent b="0" l="0" r="0" t="0"/>
            <wp:docPr descr="Figure 4.2: One year old child climbs stairs." title="" id="1" name="Picture"/>
            <a:graphic>
              <a:graphicData uri="http://schemas.openxmlformats.org/drawingml/2006/picture">
                <pic:pic>
                  <pic:nvPicPr>
                    <pic:cNvPr descr="fig/otis-stairs.jpg" id="0" name="Picture"/>
                    <pic:cNvPicPr>
                      <a:picLocks noChangeArrowheads="1" noChangeAspect="1"/>
                    </pic:cNvPicPr>
                  </pic:nvPicPr>
                  <pic:blipFill>
                    <a:blip r:embed="rId5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4.2: One year old child climbs stairs.</w:t>
      </w:r>
    </w:p>
    <w:p>
      <w:pPr>
        <w:pStyle w:val="BodyText"/>
      </w:pPr>
      <w:r>
        <w:t xml:space="preserve">The data analysis informs decisions to activate equate groups. The following steps implement our strategy for forming and enabling equate groups:</w:t>
      </w:r>
    </w:p>
    <w:p>
      <w:pPr>
        <w:numPr>
          <w:ilvl w:val="0"/>
          <w:numId w:val="1018"/>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18"/>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18"/>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18"/>
        </w:numPr>
        <w:pStyle w:val="Compact"/>
      </w:pPr>
      <w:r>
        <w:t xml:space="preserve">Assess the quality of equate groups by the infit and outfit (see section</w:t>
      </w:r>
      <w:r>
        <w:t xml:space="preserve"> </w:t>
      </w:r>
      <w:r>
        <w:t xml:space="preserve">4.6</w:t>
      </w:r>
      <w:r>
        <w:t xml:space="preserve">).</w:t>
      </w:r>
    </w:p>
    <w:p>
      <w:pPr>
        <w:numPr>
          <w:ilvl w:val="0"/>
          <w:numId w:val="1018"/>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BodyTex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2"/>
    <w:bookmarkStart w:id="55" w:name="sec:statisticalframe"/>
    <w:p>
      <w:pPr>
        <w:pStyle w:val="Heading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3">
        <w:r>
          <w:rPr>
            <w:rStyle w:val="Hyperlink"/>
          </w:rPr>
          <w:t xml:space="preserve">Booklet I: Chapter 4</w:t>
        </w:r>
      </w:hyperlink>
      <w:r>
        <w:t xml:space="preserve"> </w:t>
      </w:r>
      <w:r>
        <w:t xml:space="preserve">provides an introduction of the Rasch model geared towards the D-score.</w:t>
      </w:r>
    </w:p>
    <w:p>
      <w:pPr>
        <w:pStyle w:val="BodyTex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w:t>
      </w:r>
      <w:r>
        <w:t xml:space="preserve"> </w:t>
      </w:r>
      <w:hyperlink r:id="rId54">
        <w:r>
          <w:rPr>
            <w:rStyle w:val="Hyperlink"/>
          </w:rPr>
          <w:t xml:space="preserve">booklet I: 4.6.1 logistic model</w:t>
        </w:r>
      </w:hyperlink>
      <w:r>
        <w:t xml:space="preserve"> </w:t>
      </w:r>
      <w:r>
        <w:t xml:space="preserve">for more detail.</w:t>
      </w:r>
    </w:p>
    <w:p>
      <w:pPr>
        <w:pStyle w:val="BodyTex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BodyTex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19"/>
        </w:numPr>
        <w:pStyle w:val="Compact"/>
      </w:pPr>
      <w:r>
        <w:t xml:space="preserve">Estimate the separate</w:t>
      </w:r>
      <w:r>
        <w:t xml:space="preserve"> </w:t>
      </w:r>
      <m:oMath>
        <m:sSub>
          <m:e>
            <m:r>
              <m:t>δ</m:t>
            </m:r>
          </m:e>
          <m:sub>
            <m:r>
              <m:t>i</m:t>
            </m:r>
          </m:sub>
        </m:sSub>
      </m:oMath>
      <w:r>
        <w:t xml:space="preserve">’s per item;</w:t>
      </w:r>
    </w:p>
    <w:p>
      <w:pPr>
        <w:numPr>
          <w:ilvl w:val="0"/>
          <w:numId w:val="1019"/>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19"/>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5"/>
    <w:bookmarkStart w:id="57" w:name="sec:commonscale"/>
    <w:p>
      <w:pPr>
        <w:pStyle w:val="Heading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334000" cy="26670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BodyText"/>
      </w:pPr>
      <w:r>
        <w:t xml:space="preserve">Figure</w:t>
      </w:r>
      <w:r>
        <w:t xml:space="preserve"> </w:t>
      </w:r>
      <w:r>
        <w:t xml:space="preserve">4.3</w:t>
      </w:r>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asq</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BodyTex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BodyText"/>
      </w:pPr>
      <w:r>
        <w:t xml:space="preserve">This example demonstrates that active equate groups form the key for converting ability estimates for children from different cohorts using different instruments onto the same scale.</w:t>
      </w:r>
    </w:p>
    <w:bookmarkEnd w:id="57"/>
    <w:bookmarkStart w:id="64" w:name="sec:equatefit"/>
    <w:p>
      <w:pPr>
        <w:pStyle w:val="Heading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59" w:name="equate-fit"/>
    <w:p>
      <w:pPr>
        <w:pStyle w:val="Heading3"/>
      </w:pPr>
      <w:r>
        <w:rPr>
          <w:rStyle w:val="SectionNumber"/>
        </w:rPr>
        <w:t xml:space="preserve">4.6.1</w:t>
      </w:r>
      <w:r>
        <w:tab/>
      </w:r>
      <w:r>
        <w:t xml:space="preserve">Equate fit</w:t>
      </w:r>
    </w:p>
    <w:p>
      <w:pPr>
        <w:pStyle w:val="FirstParagraph"/>
      </w:pPr>
      <w:hyperlink r:id="rId58">
        <w:r>
          <w:rPr>
            <w:rStyle w:val="Hyperlink"/>
          </w:rPr>
          <w:t xml:space="preserve">Chapter 6 of booklet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BodyTex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g</m:t>
        </m:r>
      </m:oMath>
      <w:r>
        <w:t xml:space="preserve">, i.e.,</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g</m:t>
        </m:r>
      </m:oMath>
      <w:r>
        <w:t xml:space="preserve"> </w:t>
      </w:r>
      <w:r>
        <w:t xml:space="preserve">as</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g</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BodyTex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g</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59"/>
    <w:bookmarkStart w:id="61" w:name="examples-of-well-fitting-equate-groups"/>
    <w:p>
      <w:pPr>
        <w:pStyle w:val="Heading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In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334000" cy="5334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BodyTex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w:t>
      </w:r>
      <w:r>
        <w:t xml:space="preserve">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1"/>
    <w:bookmarkStart w:id="63" w:name="X5d62edf030c3a3899410e0266cc2077ba0a254e"/>
    <w:p>
      <w:pPr>
        <w:pStyle w:val="Heading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poor fitting. Additionally, the equate fit indices will indicate poor fit.</w:t>
      </w:r>
    </w:p>
    <w:p>
      <w:pPr>
        <w:pStyle w:val="CaptionedFigure"/>
      </w:pPr>
      <w:r>
        <w:drawing>
          <wp:inline>
            <wp:extent cx="5334000" cy="5334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BodyTex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3"/>
    <w:bookmarkEnd w:id="64"/>
    <w:bookmarkStart w:id="70" w:name="sec:equatedif"/>
    <w:p>
      <w:pPr>
        <w:pStyle w:val="Heading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DIF in equate groups.</w:t>
      </w:r>
    </w:p>
    <w:bookmarkStart w:id="67" w:name="good-equate-groups-without-dif"/>
    <w:p>
      <w:pPr>
        <w:pStyle w:val="Heading3"/>
      </w:pPr>
      <w:r>
        <w:rPr>
          <w:rStyle w:val="SectionNumber"/>
        </w:rPr>
        <w:t xml:space="preserve">4.7.1</w:t>
      </w:r>
      <w:r>
        <w:tab/>
      </w:r>
      <w:r>
        <w:t xml:space="preserve">Good equate groups without DIF</w:t>
      </w:r>
    </w:p>
    <w:p>
      <w:pPr>
        <w:pStyle w:val="FirstParagraph"/>
      </w:pPr>
      <w:hyperlink r:id="rId65">
        <w:r>
          <w:rPr>
            <w:rStyle w:val="Hyperlink"/>
          </w:rPr>
          <w:t xml:space="preserve">Booklet I</w:t>
        </w:r>
      </w:hyperlink>
      <w:r>
        <w:t xml:space="preserve"> </w:t>
      </w:r>
      <w:r>
        <w:t xml:space="preserve">discusses the role of DIF in the evaluation of fit of items to the Rasch model. This section illustrates similar issues in the context of equate groups.</w:t>
      </w:r>
    </w:p>
    <w:p>
      <w:pPr>
        <w:pStyle w:val="CaptionedFigure"/>
      </w:pPr>
      <w:r>
        <w:drawing>
          <wp:inline>
            <wp:extent cx="5334000" cy="5334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BodyTex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7"/>
    <w:bookmarkStart w:id="69" w:name="poor-equate-groups-with-dif-for-study"/>
    <w:p>
      <w:pPr>
        <w:pStyle w:val="Heading3"/>
      </w:pPr>
      <w:r>
        <w:rPr>
          <w:rStyle w:val="SectionNumber"/>
        </w:rPr>
        <w:t xml:space="preserve">4.7.2</w:t>
      </w:r>
      <w:r>
        <w:tab/>
      </w:r>
      <w:r>
        <w:t xml:space="preserve">Poor equate groups with DIF for study</w:t>
      </w:r>
    </w:p>
    <w:p>
      <w:pPr>
        <w:pStyle w:val="CaptionedFigure"/>
      </w:pPr>
      <w:r>
        <w:drawing>
          <wp:inline>
            <wp:extent cx="5334000" cy="5334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BodyTex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bookmarkEnd w:id="69"/>
    <w:bookmarkEnd w:id="70"/>
    <w:bookmarkEnd w:id="71"/>
    <w:bookmarkStart w:id="99" w:name="ch:modellingequates"/>
    <w:p>
      <w:pPr>
        <w:pStyle w:val="Heading1"/>
      </w:pPr>
      <w:r>
        <w:rPr>
          <w:rStyle w:val="SectionNumber"/>
        </w:rPr>
        <w:t xml:space="preserve">5</w:t>
      </w:r>
      <w:r>
        <w:tab/>
      </w:r>
      <w:r>
        <w:t xml:space="preserve">Modelling equates</w:t>
      </w:r>
    </w:p>
    <w:p>
      <w:pPr>
        <w:pStyle w:val="BlockText"/>
      </w:pPr>
      <w:r>
        <w:t xml:space="preserve">Author: Stef van Buuren, Iris Eekhout</w:t>
      </w:r>
    </w:p>
    <w:p>
      <w:pPr>
        <w:pStyle w:val="FirstParagraph"/>
      </w:pPr>
      <w:r>
        <w:t xml:space="preserve">This chapter deals with the nitty-gritty of the modelling strategy used for the GCDG data introduced in chapter</w:t>
      </w:r>
      <w:r>
        <w:t xml:space="preserve"> </w:t>
      </w:r>
      <w:r>
        <w:t xml:space="preserve">2</w:t>
      </w:r>
      <w:r>
        <w:t xml:space="preserve">. The chapter</w:t>
      </w:r>
    </w:p>
    <w:p>
      <w:pPr>
        <w:numPr>
          <w:ilvl w:val="0"/>
          <w:numId w:val="1020"/>
        </w:numPr>
        <w:pStyle w:val="Compact"/>
      </w:pPr>
      <w:r>
        <w:t xml:space="preserve">provides a high-level description of the GCDG data (</w:t>
      </w:r>
      <w:r>
        <w:t xml:space="preserve">5.1</w:t>
      </w:r>
      <w:r>
        <w:t xml:space="preserve">)</w:t>
      </w:r>
    </w:p>
    <w:p>
      <w:pPr>
        <w:numPr>
          <w:ilvl w:val="0"/>
          <w:numId w:val="1020"/>
        </w:numPr>
        <w:pStyle w:val="Compact"/>
      </w:pPr>
      <w:r>
        <w:t xml:space="preserve">discusses various modelling strategies (</w:t>
      </w:r>
      <w:r>
        <w:t xml:space="preserve">5.2</w:t>
      </w:r>
      <w:r>
        <w:t xml:space="preserve">)</w:t>
      </w:r>
    </w:p>
    <w:p>
      <w:pPr>
        <w:numPr>
          <w:ilvl w:val="0"/>
          <w:numId w:val="1020"/>
        </w:numPr>
        <w:pStyle w:val="Compact"/>
      </w:pPr>
      <w:r>
        <w:t xml:space="preserve">shows the impact of equate groups on the model in extreme cases (</w:t>
      </w:r>
      <w:r>
        <w:t xml:space="preserve">5.3</w:t>
      </w:r>
      <w:r>
        <w:t xml:space="preserve">)</w:t>
      </w:r>
    </w:p>
    <w:p>
      <w:pPr>
        <w:numPr>
          <w:ilvl w:val="0"/>
          <w:numId w:val="1020"/>
        </w:numPr>
        <w:pStyle w:val="Compact"/>
      </w:pPr>
      <w:r>
        <w:t xml:space="preserve">demonstrates visualisation of age profiles to select promising equate groups (</w:t>
      </w:r>
      <w:r>
        <w:t xml:space="preserve">5.4</w:t>
      </w:r>
      <w:r>
        <w:t xml:space="preserve">)</w:t>
      </w:r>
    </w:p>
    <w:p>
      <w:pPr>
        <w:numPr>
          <w:ilvl w:val="0"/>
          <w:numId w:val="1020"/>
        </w:numPr>
        <w:pStyle w:val="Compact"/>
      </w:pPr>
      <w:r>
        <w:t xml:space="preserve">introduces a helpful visualisation of the quality of the equate group (</w:t>
      </w:r>
      <w:r>
        <w:t xml:space="preserve">5.5</w:t>
      </w:r>
      <w:r>
        <w:t xml:space="preserve">)</w:t>
      </w:r>
    </w:p>
    <w:p>
      <w:pPr>
        <w:numPr>
          <w:ilvl w:val="0"/>
          <w:numId w:val="1020"/>
        </w:numPr>
        <w:pStyle w:val="Compact"/>
      </w:pPr>
      <w:r>
        <w:t xml:space="preserve">highlights infit and outfit for removing misfitting milestones (</w:t>
      </w:r>
      <w:r>
        <w:t xml:space="preserve">5.6</w:t>
      </w:r>
      <w:r>
        <w:t xml:space="preserve">)</w:t>
      </w:r>
    </w:p>
    <w:p>
      <w:pPr>
        <w:numPr>
          <w:ilvl w:val="0"/>
          <w:numId w:val="1020"/>
        </w:numPr>
        <w:pStyle w:val="Compact"/>
      </w:pPr>
      <w:r>
        <w:t xml:space="preserve">discusses instrument fit and equate group editing (</w:t>
      </w:r>
      <w:r>
        <w:t xml:space="preserve">5.7</w:t>
      </w:r>
      <w:r>
        <w:t xml:space="preserve">)</w:t>
      </w:r>
    </w:p>
    <w:p>
      <w:pPr>
        <w:numPr>
          <w:ilvl w:val="0"/>
          <w:numId w:val="1020"/>
        </w:numPr>
        <w:pStyle w:val="Compact"/>
      </w:pPr>
      <w:r>
        <w:t xml:space="preserve">introduces a grading system for equate groups (</w:t>
      </w:r>
      <w:r>
        <w:t xml:space="preserve">5.8</w:t>
      </w:r>
      <w:r>
        <w:t xml:space="preserve">)</w:t>
      </w:r>
    </w:p>
    <w:p>
      <w:pPr>
        <w:numPr>
          <w:ilvl w:val="0"/>
          <w:numId w:val="1020"/>
        </w:numPr>
        <w:pStyle w:val="Compact"/>
      </w:pPr>
      <w:r>
        <w:t xml:space="preserve">provides pointers to the final model (</w:t>
      </w:r>
      <w:r>
        <w:t xml:space="preserve">5.9</w:t>
      </w:r>
      <w:r>
        <w:t xml:space="preserve">)</w:t>
      </w:r>
    </w:p>
    <w:bookmarkStart w:id="75" w:name="sec:gcdgdata"/>
    <w:p>
      <w:pPr>
        <w:pStyle w:val="Heading2"/>
      </w:pPr>
      <w:r>
        <w:rPr>
          <w:rStyle w:val="SectionNumber"/>
        </w:rPr>
        <w:t xml:space="preserve">5.1</w:t>
      </w:r>
      <w:r>
        <w:tab/>
      </w:r>
      <w:r>
        <w:t xml:space="preserve">GCDG data: design and description</w:t>
      </w:r>
    </w:p>
    <w:bookmarkStart w:id="72" w:name="data-combination"/>
    <w:p>
      <w:pPr>
        <w:pStyle w:val="Heading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BodyTex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BodyTex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is missing.</w:t>
      </w:r>
    </w:p>
    <w:bookmarkEnd w:id="72"/>
    <w:bookmarkStart w:id="74" w:name="equate-group-formation"/>
    <w:p>
      <w:pPr>
        <w:pStyle w:val="Heading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1"/>
        </w:numPr>
        <w:pStyle w:val="Compact"/>
      </w:pPr>
      <w:r>
        <w:t xml:space="preserve">developed an item coding schema;</w:t>
      </w:r>
    </w:p>
    <w:p>
      <w:pPr>
        <w:numPr>
          <w:ilvl w:val="0"/>
          <w:numId w:val="1021"/>
        </w:numPr>
        <w:pStyle w:val="Compact"/>
      </w:pPr>
      <w:r>
        <w:t xml:space="preserve">matched similarly appearing items stemming from different instruments;</w:t>
      </w:r>
    </w:p>
    <w:p>
      <w:pPr>
        <w:numPr>
          <w:ilvl w:val="0"/>
          <w:numId w:val="1021"/>
        </w:numPr>
        <w:pStyle w:val="Compact"/>
      </w:pPr>
      <w:r>
        <w:t xml:space="preserve">formed an opinion about the quality of each match;</w:t>
      </w:r>
    </w:p>
    <w:p>
      <w:pPr>
        <w:numPr>
          <w:ilvl w:val="0"/>
          <w:numId w:val="1021"/>
        </w:numPr>
        <w:pStyle w:val="Compact"/>
      </w:pPr>
      <w:r>
        <w:t xml:space="preserve">noted peculiarities of the matches;</w:t>
      </w:r>
    </w:p>
    <w:p>
      <w:pPr>
        <w:numPr>
          <w:ilvl w:val="0"/>
          <w:numId w:val="1021"/>
        </w:numPr>
        <w:pStyle w:val="Compact"/>
      </w:pPr>
      <w:r>
        <w:t xml:space="preserve">reported the results as a series of detailed Excel spreadsheets.</w:t>
      </w:r>
    </w:p>
    <w:p>
      <w:pPr>
        <w:pStyle w:val="CaptionedFigure"/>
      </w:pPr>
      <w:r>
        <w:drawing>
          <wp:inline>
            <wp:extent cx="5334000" cy="2489648"/>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3"/>
                    <a:stretch>
                      <a:fillRect/>
                    </a:stretch>
                  </pic:blipFill>
                  <pic:spPr bwMode="auto">
                    <a:xfrm>
                      <a:off x="0" y="0"/>
                      <a:ext cx="5334000" cy="2489648"/>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BodyTex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4"/>
    <w:bookmarkEnd w:id="75"/>
    <w:bookmarkStart w:id="76" w:name="sec:modellingstrategies"/>
    <w:p>
      <w:pPr>
        <w:pStyle w:val="Heading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2"/>
        </w:numPr>
        <w:pStyle w:val="Compact"/>
      </w:pPr>
      <w:r>
        <w:t xml:space="preserve">to find a subset of items that form a scale;</w:t>
      </w:r>
    </w:p>
    <w:p>
      <w:pPr>
        <w:numPr>
          <w:ilvl w:val="0"/>
          <w:numId w:val="1022"/>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chapter describes some of the modelling issues the analyst needs to confront.</w:t>
      </w:r>
    </w:p>
    <w:p>
      <w:pPr>
        <w:pStyle w:val="BodyText"/>
      </w:pPr>
      <w:r>
        <w:t xml:space="preserve">In general, we look for a final model that</w:t>
      </w:r>
    </w:p>
    <w:p>
      <w:pPr>
        <w:numPr>
          <w:ilvl w:val="0"/>
          <w:numId w:val="1023"/>
        </w:numPr>
        <w:pStyle w:val="Compact"/>
      </w:pPr>
      <w:r>
        <w:t xml:space="preserve">preserves the items that best fit the Rasch model;</w:t>
      </w:r>
    </w:p>
    <w:p>
      <w:pPr>
        <w:numPr>
          <w:ilvl w:val="0"/>
          <w:numId w:val="1023"/>
        </w:numPr>
        <w:pStyle w:val="Compact"/>
      </w:pPr>
      <w:r>
        <w:t xml:space="preserve">uses active equate groups with items that behave the same across many cohorts and instruments;</w:t>
      </w:r>
    </w:p>
    <w:p>
      <w:pPr>
        <w:numPr>
          <w:ilvl w:val="0"/>
          <w:numId w:val="1023"/>
        </w:numPr>
        <w:pStyle w:val="Compact"/>
      </w:pPr>
      <w:r>
        <w:t xml:space="preserve">displays reasonable age-conditional distributions of the D-scores under the model;</w:t>
      </w:r>
    </w:p>
    <w:p>
      <w:pPr>
        <w:numPr>
          <w:ilvl w:val="0"/>
          <w:numId w:val="1023"/>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4"/>
        </w:numPr>
        <w:pStyle w:val="Compact"/>
      </w:pPr>
      <w:r>
        <w:t xml:space="preserve">remove bad items;</w:t>
      </w:r>
    </w:p>
    <w:p>
      <w:pPr>
        <w:numPr>
          <w:ilvl w:val="0"/>
          <w:numId w:val="1024"/>
        </w:numPr>
        <w:pStyle w:val="Compact"/>
      </w:pPr>
      <w:r>
        <w:t xml:space="preserve">inactivate bad equate groups;</w:t>
      </w:r>
    </w:p>
    <w:p>
      <w:pPr>
        <w:numPr>
          <w:ilvl w:val="0"/>
          <w:numId w:val="1024"/>
        </w:numPr>
        <w:pStyle w:val="Compact"/>
      </w:pPr>
      <w:r>
        <w:t xml:space="preserve">break up bad equate groups;</w:t>
      </w:r>
    </w:p>
    <w:p>
      <w:pPr>
        <w:numPr>
          <w:ilvl w:val="0"/>
          <w:numId w:val="1024"/>
        </w:numPr>
        <w:pStyle w:val="Compact"/>
      </w:pPr>
      <w:r>
        <w:t xml:space="preserve">move items from one equate group to another;</w:t>
      </w:r>
    </w:p>
    <w:p>
      <w:pPr>
        <w:numPr>
          <w:ilvl w:val="0"/>
          <w:numId w:val="1024"/>
        </w:numPr>
        <w:pStyle w:val="Compact"/>
      </w:pPr>
      <w:r>
        <w:t xml:space="preserve">create new equate groups;</w:t>
      </w:r>
    </w:p>
    <w:p>
      <w:pPr>
        <w:numPr>
          <w:ilvl w:val="0"/>
          <w:numId w:val="1024"/>
        </w:numPr>
        <w:pStyle w:val="Compact"/>
      </w:pPr>
      <w:r>
        <w:t xml:space="preserve">remove entire instruments;</w:t>
      </w:r>
    </w:p>
    <w:p>
      <w:pPr>
        <w:numPr>
          <w:ilvl w:val="0"/>
          <w:numId w:val="1024"/>
        </w:numPr>
        <w:pStyle w:val="Compact"/>
      </w:pPr>
      <w:r>
        <w:t xml:space="preserve">remove persons;</w:t>
      </w:r>
    </w:p>
    <w:p>
      <w:pPr>
        <w:numPr>
          <w:ilvl w:val="0"/>
          <w:numId w:val="1024"/>
        </w:numPr>
        <w:pStyle w:val="Compact"/>
      </w:pPr>
      <w:r>
        <w:t xml:space="preserve">remove studies.</w:t>
      </w:r>
    </w:p>
    <w:p>
      <w:pPr>
        <w:pStyle w:val="FirstParagraph"/>
      </w:pPr>
      <w:r>
        <w:t xml:space="preserve">In order to steer our actions, we look at the following diagnostics (in order of importance):</w:t>
      </w:r>
    </w:p>
    <w:p>
      <w:pPr>
        <w:numPr>
          <w:ilvl w:val="0"/>
          <w:numId w:val="1025"/>
        </w:numPr>
        <w:pStyle w:val="Compact"/>
      </w:pPr>
      <w:r>
        <w:t xml:space="preserve">quality of equate group (both visually and through infit);</w:t>
      </w:r>
    </w:p>
    <w:p>
      <w:pPr>
        <w:numPr>
          <w:ilvl w:val="0"/>
          <w:numId w:val="1025"/>
        </w:numPr>
        <w:pStyle w:val="Compact"/>
      </w:pPr>
      <w:r>
        <w:t xml:space="preserve">plausibility of the distribution of the D-score by age per study;</w:t>
      </w:r>
    </w:p>
    <w:p>
      <w:pPr>
        <w:numPr>
          <w:ilvl w:val="0"/>
          <w:numId w:val="1025"/>
        </w:numPr>
        <w:pStyle w:val="Compact"/>
      </w:pPr>
      <w:r>
        <w:t xml:space="preserve">correspondence of difficulty estimates from published (single study) Dutch data and the new model;</w:t>
      </w:r>
    </w:p>
    <w:p>
      <w:pPr>
        <w:numPr>
          <w:ilvl w:val="0"/>
          <w:numId w:val="1025"/>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76"/>
    <w:bookmarkStart w:id="80" w:name="sec:impactequate"/>
    <w:p>
      <w:pPr>
        <w:pStyle w:val="Heading2"/>
      </w:pPr>
      <w:r>
        <w:rPr>
          <w:rStyle w:val="SectionNumber"/>
        </w:rPr>
        <w:t xml:space="preserve">5.3</w:t>
      </w:r>
      <w:r>
        <w:tab/>
      </w:r>
      <w:r>
        <w:t xml:space="preserve">Impact of number of active equate groups</w:t>
      </w:r>
    </w:p>
    <w:p>
      <w:pPr>
        <w:pStyle w:val="CaptionedFigure"/>
      </w:pPr>
      <w:r>
        <w:drawing>
          <wp:inline>
            <wp:extent cx="5334000" cy="4211052"/>
            <wp:effectExtent b="0" l="0" r="0" t="0"/>
            <wp:docPr descr="Figure 5.2: D-score by age of four models with all 1339 items using 0, 11, 33 and 184 active equate groups. The number of equate groups has a substantial effect on the D-score distribution. Use the arrows to see other cohorts. Click ZOOM to enlarge the display." title="" id="1" name="Picture"/>
            <a:graphic>
              <a:graphicData uri="http://schemas.openxmlformats.org/drawingml/2006/picture">
                <pic:pic>
                  <pic:nvPicPr>
                    <pic:cNvPr descr="fig/fig_5.2.png" id="0" name="Picture"/>
                    <pic:cNvPicPr>
                      <a:picLocks noChangeArrowheads="1" noChangeAspect="1"/>
                    </pic:cNvPicPr>
                  </pic:nvPicPr>
                  <pic:blipFill>
                    <a:blip r:embed="rId77"/>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t xml:space="preserve">Figure 5.2: D-score by age of four models with all 1339 items using 0, 11, 33 and 184 active equate groups. The number of equate groups has a substantial effect on the D-score distribution. Use the arrows to see other cohorts. Click</w:t>
      </w:r>
      <w:r>
        <w:t xml:space="preserve"> </w:t>
      </w:r>
      <w:hyperlink r:id="rId78">
        <w:r>
          <w:rPr>
            <w:rStyle w:val="Hyperlink"/>
          </w:rPr>
          <w:t xml:space="preserve">ZOOM</w:t>
        </w:r>
      </w:hyperlink>
      <w:r>
        <w:t xml:space="preserve"> </w:t>
      </w:r>
      <w:r>
        <w:t xml:space="preserve">to enlarge the display.</w:t>
      </w:r>
    </w:p>
    <w:p>
      <w:pPr>
        <w:pStyle w:val="BodyText"/>
      </w:pPr>
      <w:r>
        <w:t xml:space="preserve">Figure</w:t>
      </w:r>
      <w:r>
        <w:t xml:space="preserve"> </w:t>
      </w:r>
      <w:r>
        <w:t xml:space="preserve">5.2</w:t>
      </w:r>
      <w:r>
        <w:t xml:space="preserve"> </w:t>
      </w:r>
      <w:r>
        <w:t xml:space="preserve">is a display of the D-score by age for all 16 cohorts under four models. As a rough reference to compare, the gray curves in the back represent the Dutch model as calculated from the</w:t>
      </w:r>
      <w:r>
        <w:t xml:space="preserve"> </w:t>
      </w:r>
      <w:hyperlink r:id="rId79">
        <w:r>
          <w:rPr>
            <w:rStyle w:val="Hyperlink"/>
          </w:rPr>
          <w:t xml:space="preserve">SMOCC study</w:t>
        </w:r>
      </w:hyperlink>
      <w:r>
        <w:t xml:space="preserve">. In order to speed up the calculations, the figure shows a random subsample of 25% of all points. Manipulate the plot controls to switch cohorts.</w:t>
      </w:r>
    </w:p>
    <w:p>
      <w:pPr>
        <w:pStyle w:val="BodyText"/>
      </w:pPr>
      <w:r>
        <w:t xml:space="preserve">All models contain 1339 items, but differ in the number of active equate groups. The most salient features per model are:</w:t>
      </w:r>
    </w:p>
    <w:p>
      <w:pPr>
        <w:numPr>
          <w:ilvl w:val="0"/>
          <w:numId w:val="1026"/>
        </w:numPr>
        <w:pStyle w:val="Compact"/>
      </w:pPr>
      <w:r>
        <w:rPr>
          <w:rStyle w:val="VerbatimChar"/>
        </w:rPr>
        <w:t xml:space="preserve">1339_0</w:t>
      </w:r>
      <w:r>
        <w:t xml:space="preserve">: No equate groups, so different instruments in different cohorts are fitted independently;</w:t>
      </w:r>
    </w:p>
    <w:p>
      <w:pPr>
        <w:numPr>
          <w:ilvl w:val="0"/>
          <w:numId w:val="1026"/>
        </w:numPr>
        <w:pStyle w:val="Compact"/>
      </w:pPr>
      <w:r>
        <w:rPr>
          <w:rStyle w:val="VerbatimChar"/>
        </w:rPr>
        <w:t xml:space="preserve">1339_11</w:t>
      </w:r>
      <w:r>
        <w:t xml:space="preserve">: Connects all cohorts through one or more equated items using 11 equate groups in total;</w:t>
      </w:r>
    </w:p>
    <w:p>
      <w:pPr>
        <w:numPr>
          <w:ilvl w:val="0"/>
          <w:numId w:val="1026"/>
        </w:numPr>
        <w:pStyle w:val="Compact"/>
      </w:pPr>
      <w:r>
        <w:rPr>
          <w:rStyle w:val="VerbatimChar"/>
        </w:rPr>
        <w:t xml:space="preserve">1339_33</w:t>
      </w:r>
      <w:r>
        <w:t xml:space="preserve">: There are 33 equate groups that bridge cohort and instruments;</w:t>
      </w:r>
    </w:p>
    <w:p>
      <w:pPr>
        <w:numPr>
          <w:ilvl w:val="0"/>
          <w:numId w:val="1026"/>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7"/>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7"/>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7"/>
        </w:numPr>
      </w:pPr>
      <w:r>
        <w:t xml:space="preserve">The vertical spread depends on the number of equate groups. For example, the spread in the Chile-2 (CHL-2) cohort substantially increases with the number of active equates.</w:t>
      </w:r>
    </w:p>
    <w:p>
      <w:pPr>
        <w:numPr>
          <w:ilvl w:val="0"/>
          <w:numId w:val="1027"/>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79">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0"/>
    <w:bookmarkStart w:id="84" w:name="sec:ageprofiles"/>
    <w:p>
      <w:pPr>
        <w:pStyle w:val="Heading2"/>
      </w:pPr>
      <w:r>
        <w:rPr>
          <w:rStyle w:val="SectionNumber"/>
        </w:rPr>
        <w:t xml:space="preserve">5.4</w:t>
      </w:r>
      <w:r>
        <w:tab/>
      </w:r>
      <w:r>
        <w:t xml:space="preserve">Age profiles of similar milestones</w:t>
      </w:r>
    </w:p>
    <w:p>
      <w:pPr>
        <w:pStyle w:val="CaptionedFigure"/>
      </w:pPr>
      <w:r>
        <w:drawing>
          <wp:inline>
            <wp:extent cx="5334000" cy="3158289"/>
            <wp:effectExtent b="0" l="0" r="0" t="0"/>
            <wp:docPr descr="Figure 5.3: Percentage of children that pass similar milestones at a given age. ZOOM" title="" id="1" name="Picture"/>
            <a:graphic>
              <a:graphicData uri="http://schemas.openxmlformats.org/drawingml/2006/picture">
                <pic:pic>
                  <pic:nvPicPr>
                    <pic:cNvPr descr="fig/fig_5.3.png" id="0" name="Picture"/>
                    <pic:cNvPicPr>
                      <a:picLocks noChangeArrowheads="1" noChangeAspect="1"/>
                    </pic:cNvPicPr>
                  </pic:nvPicPr>
                  <pic:blipFill>
                    <a:blip r:embed="rId81"/>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5.3: Percentage of children that pass similar milestones at a given age.</w:t>
      </w:r>
      <w:r>
        <w:t xml:space="preserve"> </w:t>
      </w:r>
      <w:hyperlink r:id="rId82">
        <w:r>
          <w:rPr>
            <w:rStyle w:val="Hyperlink"/>
          </w:rPr>
          <w:t xml:space="preserve">ZOOM</w:t>
        </w:r>
      </w:hyperlink>
    </w:p>
    <w:p>
      <w:pPr>
        <w:pStyle w:val="BodyTex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BodyTex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3">
        <w:r>
          <w:rPr>
            <w:rStyle w:val="Hyperlink"/>
          </w:rPr>
          <w:t xml:space="preserve">Section 3.1.2, booklet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 is</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BodyText"/>
      </w:pPr>
      <w:r>
        <w:t xml:space="preserve">We could follow different strategies in selecting which equate groups to active.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84"/>
    <w:bookmarkStart w:id="87" w:name="sec:equatequality"/>
    <w:p>
      <w:pPr>
        <w:pStyle w:val="Heading2"/>
      </w:pPr>
      <w:r>
        <w:rPr>
          <w:rStyle w:val="SectionNumber"/>
        </w:rPr>
        <w:t xml:space="preserve">5.5</w:t>
      </w:r>
      <w:r>
        <w:tab/>
      </w:r>
      <w:r>
        <w:t xml:space="preserve">Quality of equate groups</w:t>
      </w:r>
    </w:p>
    <w:p>
      <w:pPr>
        <w:pStyle w:val="CaptionedFigure"/>
      </w:pPr>
      <w:r>
        <w:drawing>
          <wp:inline>
            <wp:extent cx="5334000" cy="3158289"/>
            <wp:effectExtent b="0" l="0" r="0" t="0"/>
            <wp:docPr descr="Figure 5.4: Percentage of children that pass similar milestones given their D-score as calculated under four models (1339 items, and 0, 11, 33 and 184 equate groups, respectively. ZOOM" title="" id="1" name="Picture"/>
            <a:graphic>
              <a:graphicData uri="http://schemas.openxmlformats.org/drawingml/2006/picture">
                <pic:pic>
                  <pic:nvPicPr>
                    <pic:cNvPr descr="fig/fig_5.4.png" id="0" name="Picture"/>
                    <pic:cNvPicPr>
                      <a:picLocks noChangeArrowheads="1" noChangeAspect="1"/>
                    </pic:cNvPicPr>
                  </pic:nvPicPr>
                  <pic:blipFill>
                    <a:blip r:embed="rId85"/>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5.4: Percentage of children that pass similar milestones given their D-score as calculated under four models (1339 items, and 0, 11, 33 and 184 equate groups, respectively.</w:t>
      </w:r>
      <w:r>
        <w:t xml:space="preserve"> </w:t>
      </w:r>
      <w:hyperlink r:id="rId86">
        <w:r>
          <w:rPr>
            <w:rStyle w:val="Hyperlink"/>
          </w:rPr>
          <w:t xml:space="preserve">ZOOM</w:t>
        </w:r>
      </w:hyperlink>
    </w:p>
    <w:p>
      <w:pPr>
        <w:pStyle w:val="BodyTex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BodyTex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that model does not fit the combined item.</w:t>
      </w:r>
    </w:p>
    <w:p>
      <w:pPr>
        <w:pStyle w:val="BodyTex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BodyTex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87"/>
    <w:bookmarkStart w:id="90" w:name="sec:milestoneselection"/>
    <w:p>
      <w:pPr>
        <w:pStyle w:val="Heading2"/>
      </w:pPr>
      <w:r>
        <w:rPr>
          <w:rStyle w:val="SectionNumber"/>
        </w:rPr>
        <w:t xml:space="preserve">5.6</w:t>
      </w:r>
      <w:r>
        <w:tab/>
      </w:r>
      <w:r>
        <w:t xml:space="preserve">Milestone selection</w:t>
      </w:r>
    </w:p>
    <w:p>
      <w:pPr>
        <w:pStyle w:val="CaptionedFigure"/>
      </w:pPr>
      <w:r>
        <w:drawing>
          <wp:inline>
            <wp:extent cx="5334000" cy="3810000"/>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8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BodyText"/>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89">
        <w:r>
          <w:rPr>
            <w:rStyle w:val="Hyperlink"/>
          </w:rPr>
          <w:t xml:space="preserve">Booklet 1: Section 6.1</w:t>
        </w:r>
      </w:hyperlink>
      <w:r>
        <w:t xml:space="preserve"> </w:t>
      </w:r>
      <w:r>
        <w:t xml:space="preserve">for more details.</w:t>
      </w:r>
    </w:p>
    <w:p>
      <w:pPr>
        <w:pStyle w:val="BodyTex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BodyTex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0"/>
    <w:bookmarkStart w:id="94" w:name="sec:othermodelling"/>
    <w:p>
      <w:pPr>
        <w:pStyle w:val="Heading2"/>
      </w:pPr>
      <w:r>
        <w:rPr>
          <w:rStyle w:val="SectionNumber"/>
        </w:rPr>
        <w:t xml:space="preserve">5.7</w:t>
      </w:r>
      <w:r>
        <w:tab/>
      </w:r>
      <w:r>
        <w:t xml:space="preserve">Other modelling actions</w:t>
      </w:r>
    </w:p>
    <w:bookmarkStart w:id="92" w:name="instrument-fit"/>
    <w:p>
      <w:pPr>
        <w:pStyle w:val="Heading3"/>
      </w:pPr>
      <w:r>
        <w:rPr>
          <w:rStyle w:val="SectionNumber"/>
        </w:rPr>
        <w:t xml:space="preserve">5.7.1</w:t>
      </w:r>
      <w:r>
        <w:tab/>
      </w:r>
      <w:r>
        <w:t xml:space="preserve">Instrument fit</w:t>
      </w:r>
    </w:p>
    <w:p>
      <w:pPr>
        <w:pStyle w:val="CaptionedFigure"/>
      </w:pPr>
      <w:r>
        <w:drawing>
          <wp:inline>
            <wp:extent cx="5334000" cy="3810000"/>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BodyText"/>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BodyTex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 ASQ-3, which also uses three response categories.</w:t>
      </w:r>
    </w:p>
    <w:bookmarkEnd w:id="92"/>
    <w:bookmarkStart w:id="93" w:name="X9edcdd14c6f5a78de23bd76680b44e75aae7844"/>
    <w:p>
      <w:pPr>
        <w:pStyle w:val="Heading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BodyTex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BodyText"/>
      </w:pPr>
      <w:r>
        <w:t xml:space="preserve">Table 5.1: Milestones not used for equating because of limited cross-cultural validity</w:t>
      </w:r>
    </w:p>
    <w:p>
      <w:pPr>
        <w:pStyle w:val="BodyText"/>
      </w:pPr>
      <w:r>
        <w:t xml:space="preserve">Item</w:t>
      </w:r>
    </w:p>
    <w:p>
      <w:pPr>
        <w:pStyle w:val="BodyText"/>
      </w:pPr>
      <w:r>
        <w:t xml:space="preserve">Label</w:t>
      </w:r>
    </w:p>
    <w:p>
      <w:pPr>
        <w:pStyle w:val="BodyText"/>
      </w:pPr>
      <w:r>
        <w:t xml:space="preserve">aqislc023</w:t>
      </w:r>
    </w:p>
    <w:p>
      <w:pPr>
        <w:pStyle w:val="BodyText"/>
      </w:pPr>
      <w:r>
        <w:t xml:space="preserve">When you dress your baby does she lift her foot for her shoe, sock, or pant leg?</w:t>
      </w:r>
    </w:p>
    <w:p>
      <w:pPr>
        <w:pStyle w:val="BodyText"/>
      </w:pPr>
      <w:r>
        <w:t xml:space="preserve">aqislc041</w:t>
      </w:r>
    </w:p>
    <w:p>
      <w:pPr>
        <w:pStyle w:val="BodyTex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BodyText"/>
      </w:pPr>
      <w:r>
        <w:t xml:space="preserve">by1mdd050</w:t>
      </w:r>
    </w:p>
    <w:p>
      <w:pPr>
        <w:pStyle w:val="BodyText"/>
      </w:pPr>
      <w:r>
        <w:t xml:space="preserve">Washes and dries hands</w:t>
      </w:r>
    </w:p>
    <w:p>
      <w:pPr>
        <w:pStyle w:val="BodyText"/>
      </w:pPr>
      <w:r>
        <w:t xml:space="preserve">by1pdd053</w:t>
      </w:r>
    </w:p>
    <w:p>
      <w:pPr>
        <w:pStyle w:val="BodyText"/>
      </w:pPr>
      <w:r>
        <w:t xml:space="preserve">Bowel and bladder control</w:t>
      </w:r>
    </w:p>
    <w:p>
      <w:pPr>
        <w:pStyle w:val="BodyText"/>
      </w:pPr>
      <w:r>
        <w:t xml:space="preserve">by1pdd054</w:t>
      </w:r>
    </w:p>
    <w:p>
      <w:pPr>
        <w:pStyle w:val="BodyText"/>
      </w:pPr>
      <w:r>
        <w:t xml:space="preserve">manipulates table edge actively</w:t>
      </w:r>
    </w:p>
    <w:p>
      <w:pPr>
        <w:pStyle w:val="BodyText"/>
      </w:pPr>
      <w:r>
        <w:t xml:space="preserve">by2pdd069</w:t>
      </w:r>
    </w:p>
    <w:p>
      <w:pPr>
        <w:pStyle w:val="BodyText"/>
      </w:pPr>
      <w:r>
        <w:t xml:space="preserve">Walsk up stairs with help</w:t>
      </w:r>
    </w:p>
    <w:p>
      <w:pPr>
        <w:pStyle w:val="BodyText"/>
      </w:pPr>
      <w:r>
        <w:t xml:space="preserve">by3cgd043</w:t>
      </w:r>
    </w:p>
    <w:p>
      <w:pPr>
        <w:pStyle w:val="BodyText"/>
      </w:pPr>
      <w:r>
        <w:t xml:space="preserve">Walks down stairs with help</w:t>
      </w:r>
    </w:p>
    <w:p>
      <w:pPr>
        <w:pStyle w:val="BodyText"/>
      </w:pPr>
      <w:r>
        <w:t xml:space="preserve">by3cgd052</w:t>
      </w:r>
    </w:p>
    <w:p>
      <w:pPr>
        <w:pStyle w:val="BodyText"/>
      </w:pPr>
      <w:r>
        <w:t xml:space="preserve">Walks down stairs with help</w:t>
      </w:r>
    </w:p>
    <w:p>
      <w:pPr>
        <w:pStyle w:val="BodyText"/>
      </w:pPr>
      <w:r>
        <w:t xml:space="preserve">by3gmd047</w:t>
      </w:r>
    </w:p>
    <w:p>
      <w:pPr>
        <w:pStyle w:val="BodyText"/>
      </w:pPr>
      <w:r>
        <w:t xml:space="preserve">Clear Box: Front</w:t>
      </w:r>
    </w:p>
    <w:p>
      <w:pPr>
        <w:pStyle w:val="BodyText"/>
      </w:pPr>
      <w:r>
        <w:t xml:space="preserve">by3gmd049</w:t>
      </w:r>
    </w:p>
    <w:p>
      <w:pPr>
        <w:pStyle w:val="BodyText"/>
      </w:pPr>
      <w:r>
        <w:t xml:space="preserve">Clear Box: Sides</w:t>
      </w:r>
    </w:p>
    <w:p>
      <w:pPr>
        <w:pStyle w:val="BodyText"/>
      </w:pPr>
      <w:r>
        <w:t xml:space="preserve">by3gmd057</w:t>
      </w:r>
    </w:p>
    <w:p>
      <w:pPr>
        <w:pStyle w:val="BodyText"/>
      </w:pPr>
      <w:r>
        <w:t xml:space="preserve">Uses pronouns</w:t>
      </w:r>
    </w:p>
    <w:p>
      <w:pPr>
        <w:pStyle w:val="BodyText"/>
      </w:pPr>
      <w:r>
        <w:t xml:space="preserve">by3gmd058</w:t>
      </w:r>
    </w:p>
    <w:p>
      <w:pPr>
        <w:pStyle w:val="BodyText"/>
      </w:pPr>
      <w:r>
        <w:t xml:space="preserve">Walks Up Stairs Series: Both feet on each step, with support.</w:t>
      </w:r>
    </w:p>
    <w:p>
      <w:pPr>
        <w:pStyle w:val="BodyText"/>
      </w:pPr>
      <w:r>
        <w:t xml:space="preserve">by3red030</w:t>
      </w:r>
    </w:p>
    <w:p>
      <w:pPr>
        <w:pStyle w:val="BodyText"/>
      </w:pPr>
      <w:r>
        <w:t xml:space="preserve">Walks Down Stairs Series: Both feet on each step, with support</w:t>
      </w:r>
    </w:p>
    <w:p>
      <w:pPr>
        <w:pStyle w:val="BodyText"/>
      </w:pPr>
      <w:r>
        <w:t xml:space="preserve">by3exd030</w:t>
      </w:r>
    </w:p>
    <w:p>
      <w:pPr>
        <w:pStyle w:val="BodyText"/>
      </w:pPr>
      <w:r>
        <w:t xml:space="preserve">Walks Up Stairs Series: Both feet on each step, alone.</w:t>
      </w:r>
    </w:p>
    <w:p>
      <w:pPr>
        <w:pStyle w:val="BodyText"/>
      </w:pPr>
      <w:r>
        <w:t xml:space="preserve">barxxx016</w:t>
      </w:r>
    </w:p>
    <w:p>
      <w:pPr>
        <w:pStyle w:val="BodyText"/>
      </w:pPr>
      <w:r>
        <w:t xml:space="preserve">Walks Down Stairs Series: Both feet on each step, alone</w:t>
      </w:r>
    </w:p>
    <w:p>
      <w:pPr>
        <w:pStyle w:val="BodyText"/>
      </w:pPr>
      <w:r>
        <w:t xml:space="preserve">barxxx020</w:t>
      </w:r>
    </w:p>
    <w:p>
      <w:pPr>
        <w:pStyle w:val="BodyText"/>
      </w:pPr>
      <w:r>
        <w:t xml:space="preserve">Understands pronouns (him, me, my, you, your)</w:t>
      </w:r>
    </w:p>
    <w:p>
      <w:pPr>
        <w:pStyle w:val="BodyText"/>
      </w:pPr>
      <w:r>
        <w:t xml:space="preserve">dengmd020</w:t>
      </w:r>
    </w:p>
    <w:p>
      <w:pPr>
        <w:pStyle w:val="BodyText"/>
      </w:pPr>
      <w:r>
        <w:t xml:space="preserve">Eats with spoon without help (M; can ask parents)</w:t>
      </w:r>
    </w:p>
    <w:p>
      <w:pPr>
        <w:pStyle w:val="BodyText"/>
      </w:pPr>
      <w:r>
        <w:t xml:space="preserve">densld012</w:t>
      </w:r>
    </w:p>
    <w:p>
      <w:pPr>
        <w:pStyle w:val="BodyText"/>
      </w:pPr>
      <w:r>
        <w:t xml:space="preserve">Takes off shoes and socks (M; can ask parents)</w:t>
      </w:r>
    </w:p>
    <w:p>
      <w:pPr>
        <w:pStyle w:val="BodyText"/>
      </w:pPr>
      <w:r>
        <w:t xml:space="preserve">densld013</w:t>
      </w:r>
    </w:p>
    <w:p>
      <w:pPr>
        <w:pStyle w:val="BodyText"/>
      </w:pPr>
      <w:r>
        <w:t xml:space="preserve">Can dress (one piece) (M; can ask parents)</w:t>
      </w:r>
    </w:p>
    <w:p>
      <w:pPr>
        <w:pStyle w:val="BodyText"/>
      </w:pPr>
      <w:r>
        <w:t xml:space="preserve">grigmd219</w:t>
      </w:r>
    </w:p>
    <w:p>
      <w:pPr>
        <w:pStyle w:val="BodyText"/>
      </w:pPr>
      <w:r>
        <w:t xml:space="preserve">Walk Up Stairs</w:t>
      </w:r>
    </w:p>
    <w:p>
      <w:pPr>
        <w:pStyle w:val="BodyText"/>
      </w:pPr>
      <w:r>
        <w:t xml:space="preserve">grigmd222</w:t>
      </w:r>
    </w:p>
    <w:p>
      <w:pPr>
        <w:pStyle w:val="BodyText"/>
      </w:pPr>
      <w:r>
        <w:t xml:space="preserve">Drink from a cup</w:t>
      </w:r>
    </w:p>
    <w:p>
      <w:pPr>
        <w:pStyle w:val="BodyText"/>
      </w:pPr>
      <w:r>
        <w:t xml:space="preserve">mdsgmd002</w:t>
      </w:r>
    </w:p>
    <w:p>
      <w:pPr>
        <w:pStyle w:val="BodyText"/>
      </w:pPr>
      <w:r>
        <w:t xml:space="preserve">help in house</w:t>
      </w:r>
    </w:p>
    <w:p>
      <w:pPr>
        <w:pStyle w:val="BodyText"/>
      </w:pPr>
      <w:r>
        <w:t xml:space="preserve">mdsgmd003</w:t>
      </w:r>
    </w:p>
    <w:p>
      <w:pPr>
        <w:pStyle w:val="BodyText"/>
      </w:pPr>
      <w:r>
        <w:t xml:space="preserve">(Locomotor) Walks up and down stairs.</w:t>
      </w:r>
    </w:p>
    <w:p>
      <w:pPr>
        <w:pStyle w:val="BodyText"/>
      </w:pPr>
      <w:r>
        <w:t xml:space="preserve">mdsgmd004</w:t>
      </w:r>
    </w:p>
    <w:p>
      <w:pPr>
        <w:pStyle w:val="BodyText"/>
      </w:pPr>
      <w:r>
        <w:t xml:space="preserve">(Locomotor) Goes alone on the stairs (any method)</w:t>
      </w:r>
    </w:p>
    <w:p>
      <w:pPr>
        <w:pStyle w:val="BodyText"/>
      </w:pPr>
      <w:r>
        <w:t xml:space="preserve">mdsgmd005</w:t>
      </w:r>
    </w:p>
    <w:p>
      <w:pPr>
        <w:pStyle w:val="BodyText"/>
      </w:pPr>
      <w:r>
        <w:t xml:space="preserve">Hands-and-knees crawling</w:t>
      </w:r>
    </w:p>
    <w:p>
      <w:pPr>
        <w:pStyle w:val="BodyText"/>
      </w:pPr>
      <w:r>
        <w:t xml:space="preserve">mdsgmd006</w:t>
      </w:r>
    </w:p>
    <w:p>
      <w:pPr>
        <w:pStyle w:val="BodyText"/>
      </w:pPr>
      <w:r>
        <w:t xml:space="preserve">Standing with assistance</w:t>
      </w:r>
    </w:p>
    <w:p>
      <w:pPr>
        <w:pStyle w:val="BodyText"/>
      </w:pPr>
      <w:r>
        <w:t xml:space="preserve">ddifmm019</w:t>
      </w:r>
    </w:p>
    <w:p>
      <w:pPr>
        <w:pStyle w:val="BodyText"/>
      </w:pPr>
      <w:r>
        <w:t xml:space="preserve">Walking with assistance</w:t>
      </w:r>
    </w:p>
    <w:p>
      <w:pPr>
        <w:pStyle w:val="BodyText"/>
      </w:pPr>
      <w:r>
        <w:t xml:space="preserve">ddifmd154</w:t>
      </w:r>
    </w:p>
    <w:p>
      <w:pPr>
        <w:pStyle w:val="BodyText"/>
      </w:pPr>
      <w:r>
        <w:t xml:space="preserve">Standing alone</w:t>
      </w:r>
    </w:p>
    <w:p>
      <w:pPr>
        <w:pStyle w:val="BodyText"/>
      </w:pPr>
      <w:r>
        <w:t xml:space="preserve">vinxxc002</w:t>
      </w:r>
    </w:p>
    <w:p>
      <w:pPr>
        <w:pStyle w:val="BodyText"/>
      </w:pPr>
      <w:r>
        <w:t xml:space="preserve">Walking alone</w:t>
      </w:r>
    </w:p>
    <w:p>
      <w:pPr>
        <w:pStyle w:val="BodyText"/>
      </w:pPr>
      <w:r>
        <w:t xml:space="preserve">vinxxc003</w:t>
      </w:r>
    </w:p>
    <w:p>
      <w:pPr>
        <w:pStyle w:val="BodyText"/>
      </w:pPr>
      <w:r>
        <w:t xml:space="preserve">chew solid foods</w:t>
      </w:r>
    </w:p>
    <w:p>
      <w:pPr>
        <w:pStyle w:val="BodyText"/>
      </w:pPr>
      <w:r>
        <w:t xml:space="preserve">vinxxc009</w:t>
      </w:r>
    </w:p>
    <w:p>
      <w:pPr>
        <w:pStyle w:val="BodyText"/>
      </w:pPr>
      <w:r>
        <w:t xml:space="preserve">take off socks / shoes</w:t>
      </w:r>
    </w:p>
    <w:p>
      <w:pPr>
        <w:pStyle w:val="BodyText"/>
      </w:pPr>
      <w:r>
        <w:t xml:space="preserve">vinxxc012</w:t>
      </w:r>
    </w:p>
    <w:p>
      <w:pPr>
        <w:pStyle w:val="BodyText"/>
      </w:pPr>
      <w:r>
        <w:t xml:space="preserve">get on with other children</w:t>
      </w:r>
    </w:p>
    <w:p>
      <w:pPr>
        <w:pStyle w:val="BodyText"/>
      </w:pPr>
      <w:r>
        <w:t xml:space="preserve">vinxxc014</w:t>
      </w:r>
    </w:p>
    <w:p>
      <w:pPr>
        <w:pStyle w:val="BodyText"/>
      </w:pPr>
      <w:r>
        <w:t xml:space="preserve">know what’s edible</w:t>
      </w:r>
    </w:p>
    <w:p>
      <w:pPr>
        <w:pStyle w:val="BodyText"/>
      </w:pPr>
      <w:r>
        <w:t xml:space="preserve">vinxxc022</w:t>
      </w:r>
    </w:p>
    <w:p>
      <w:pPr>
        <w:pStyle w:val="BodyText"/>
      </w:pPr>
      <w:r>
        <w:t xml:space="preserve">walk upstairs</w:t>
      </w:r>
    </w:p>
    <w:p>
      <w:pPr>
        <w:pStyle w:val="BodyText"/>
      </w:pPr>
      <w:r>
        <w:t xml:space="preserve">vinxxc028</w:t>
      </w:r>
    </w:p>
    <w:p>
      <w:pPr>
        <w:pStyle w:val="BodyText"/>
      </w:pPr>
      <w:r>
        <w:t xml:space="preserve">avoid simple danger - knife / hot</w:t>
      </w:r>
    </w:p>
    <w:p>
      <w:pPr>
        <w:pStyle w:val="BodyText"/>
      </w:pPr>
      <w:r>
        <w:t xml:space="preserve">vinxxc031</w:t>
      </w:r>
    </w:p>
    <w:p>
      <w:pPr>
        <w:pStyle w:val="BodyText"/>
      </w:pPr>
      <w:r>
        <w:t xml:space="preserve">help around the house / clear table</w:t>
      </w:r>
    </w:p>
    <w:p>
      <w:pPr>
        <w:pStyle w:val="BodyText"/>
      </w:pPr>
      <w:r>
        <w:t xml:space="preserve">vinxxc040</w:t>
      </w:r>
    </w:p>
    <w:p>
      <w:pPr>
        <w:pStyle w:val="BodyText"/>
      </w:pPr>
      <w:r>
        <w:t xml:space="preserve">Play or do things with other children of same age eg sing song</w:t>
      </w:r>
    </w:p>
    <w:p>
      <w:pPr>
        <w:pStyle w:val="BodyText"/>
      </w:pPr>
      <w:r>
        <w:t xml:space="preserve">ddifmm025</w:t>
      </w:r>
    </w:p>
    <w:p>
      <w:pPr>
        <w:pStyle w:val="BodyText"/>
      </w:pPr>
      <w:r>
        <w:t xml:space="preserve">Help with little things around the house eg pick up things</w:t>
      </w:r>
    </w:p>
    <w:bookmarkEnd w:id="93"/>
    <w:bookmarkEnd w:id="94"/>
    <w:bookmarkStart w:id="96" w:name="sec:iteminformation"/>
    <w:p>
      <w:pPr>
        <w:pStyle w:val="Heading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BodyTex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334000" cy="2286000"/>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9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BodyText"/>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BodyTex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BodyText"/>
      </w:pPr>
      <w:r>
        <w:t xml:space="preserve">Table 5.2: Equate group information in the final model.</w:t>
      </w:r>
    </w:p>
    <w:p>
      <w:pPr>
        <w:pStyle w:val="BodyText"/>
      </w:pPr>
      <w:r>
        <w:t xml:space="preserve">Equate group</w:t>
      </w:r>
    </w:p>
    <w:p>
      <w:pPr>
        <w:pStyle w:val="BodyText"/>
      </w:pPr>
      <w:r>
        <w:t xml:space="preserve">Difficulty</w:t>
      </w:r>
    </w:p>
    <w:p>
      <w:pPr>
        <w:pStyle w:val="BodyText"/>
      </w:pPr>
      <w:r>
        <w:t xml:space="preserve">Sample Size</w:t>
      </w:r>
    </w:p>
    <w:p>
      <w:pPr>
        <w:pStyle w:val="BodyText"/>
      </w:pPr>
      <w:r>
        <w:t xml:space="preserve">Information</w:t>
      </w:r>
    </w:p>
    <w:p>
      <w:pPr>
        <w:pStyle w:val="BodyText"/>
      </w:pPr>
      <w:r>
        <w:t xml:space="preserve">Grade</w:t>
      </w:r>
    </w:p>
    <w:p>
      <w:pPr>
        <w:pStyle w:val="BodyText"/>
      </w:pPr>
      <w:r>
        <w:t xml:space="preserve">EXP2</w:t>
      </w:r>
    </w:p>
    <w:p>
      <w:pPr>
        <w:pStyle w:val="BodyText"/>
      </w:pPr>
      <w:r>
        <w:t xml:space="preserve">11.4</w:t>
      </w:r>
    </w:p>
    <w:p>
      <w:pPr>
        <w:pStyle w:val="BodyText"/>
      </w:pPr>
      <w:r>
        <w:t xml:space="preserve">3608</w:t>
      </w:r>
    </w:p>
    <w:p>
      <w:pPr>
        <w:pStyle w:val="BodyText"/>
      </w:pPr>
      <w:r>
        <w:t xml:space="preserve">162.3</w:t>
      </w:r>
    </w:p>
    <w:p>
      <w:pPr>
        <w:pStyle w:val="BodyText"/>
      </w:pPr>
      <w:r>
        <w:t xml:space="preserve">A</w:t>
      </w:r>
    </w:p>
    <w:p>
      <w:pPr>
        <w:pStyle w:val="BodyText"/>
      </w:pPr>
      <w:r>
        <w:t xml:space="preserve">REC6</w:t>
      </w:r>
    </w:p>
    <w:p>
      <w:pPr>
        <w:pStyle w:val="BodyText"/>
      </w:pPr>
      <w:r>
        <w:t xml:space="preserve">30.9</w:t>
      </w:r>
    </w:p>
    <w:p>
      <w:pPr>
        <w:pStyle w:val="BodyText"/>
      </w:pPr>
      <w:r>
        <w:t xml:space="preserve">5428</w:t>
      </w:r>
    </w:p>
    <w:p>
      <w:pPr>
        <w:pStyle w:val="BodyText"/>
      </w:pPr>
      <w:r>
        <w:t xml:space="preserve">95.4</w:t>
      </w:r>
    </w:p>
    <w:p>
      <w:pPr>
        <w:pStyle w:val="BodyText"/>
      </w:pPr>
      <w:r>
        <w:t xml:space="preserve">B</w:t>
      </w:r>
    </w:p>
    <w:p>
      <w:pPr>
        <w:pStyle w:val="BodyText"/>
      </w:pPr>
      <w:r>
        <w:t xml:space="preserve">GM25</w:t>
      </w:r>
    </w:p>
    <w:p>
      <w:pPr>
        <w:pStyle w:val="BodyText"/>
      </w:pPr>
      <w:r>
        <w:t xml:space="preserve">36.4</w:t>
      </w:r>
    </w:p>
    <w:p>
      <w:pPr>
        <w:pStyle w:val="BodyText"/>
      </w:pPr>
      <w:r>
        <w:t xml:space="preserve">6380</w:t>
      </w:r>
    </w:p>
    <w:p>
      <w:pPr>
        <w:pStyle w:val="BodyText"/>
      </w:pPr>
      <w:r>
        <w:t xml:space="preserve">470.6</w:t>
      </w:r>
    </w:p>
    <w:p>
      <w:pPr>
        <w:pStyle w:val="BodyText"/>
      </w:pPr>
      <w:r>
        <w:t xml:space="preserve">A</w:t>
      </w:r>
    </w:p>
    <w:p>
      <w:pPr>
        <w:pStyle w:val="BodyText"/>
      </w:pPr>
      <w:r>
        <w:t xml:space="preserve">FM26</w:t>
      </w:r>
    </w:p>
    <w:p>
      <w:pPr>
        <w:pStyle w:val="BodyText"/>
      </w:pPr>
      <w:r>
        <w:t xml:space="preserve">42.9</w:t>
      </w:r>
    </w:p>
    <w:p>
      <w:pPr>
        <w:pStyle w:val="BodyText"/>
      </w:pPr>
      <w:r>
        <w:t xml:space="preserve">4155</w:t>
      </w:r>
    </w:p>
    <w:p>
      <w:pPr>
        <w:pStyle w:val="BodyText"/>
      </w:pPr>
      <w:r>
        <w:t xml:space="preserve">296.8</w:t>
      </w:r>
    </w:p>
    <w:p>
      <w:pPr>
        <w:pStyle w:val="BodyText"/>
      </w:pPr>
      <w:r>
        <w:t xml:space="preserve">A</w:t>
      </w:r>
    </w:p>
    <w:p>
      <w:pPr>
        <w:pStyle w:val="BodyText"/>
      </w:pPr>
      <w:r>
        <w:t xml:space="preserve">GM35</w:t>
      </w:r>
    </w:p>
    <w:p>
      <w:pPr>
        <w:pStyle w:val="BodyText"/>
      </w:pPr>
      <w:r>
        <w:t xml:space="preserve">44.0</w:t>
      </w:r>
    </w:p>
    <w:p>
      <w:pPr>
        <w:pStyle w:val="BodyText"/>
      </w:pPr>
      <w:r>
        <w:t xml:space="preserve">5522</w:t>
      </w:r>
    </w:p>
    <w:p>
      <w:pPr>
        <w:pStyle w:val="BodyText"/>
      </w:pPr>
      <w:r>
        <w:t xml:space="preserve">356.0</w:t>
      </w:r>
    </w:p>
    <w:p>
      <w:pPr>
        <w:pStyle w:val="BodyText"/>
      </w:pPr>
      <w:r>
        <w:t xml:space="preserve">A</w:t>
      </w:r>
    </w:p>
    <w:p>
      <w:pPr>
        <w:pStyle w:val="BodyText"/>
      </w:pPr>
      <w:r>
        <w:t xml:space="preserve">COG36</w:t>
      </w:r>
    </w:p>
    <w:p>
      <w:pPr>
        <w:pStyle w:val="BodyText"/>
      </w:pPr>
      <w:r>
        <w:t xml:space="preserve">44.5</w:t>
      </w:r>
    </w:p>
    <w:p>
      <w:pPr>
        <w:pStyle w:val="BodyText"/>
      </w:pPr>
      <w:r>
        <w:t xml:space="preserve">7912</w:t>
      </w:r>
    </w:p>
    <w:p>
      <w:pPr>
        <w:pStyle w:val="BodyText"/>
      </w:pPr>
      <w:r>
        <w:t xml:space="preserve">230.0</w:t>
      </w:r>
    </w:p>
    <w:p>
      <w:pPr>
        <w:pStyle w:val="BodyText"/>
      </w:pPr>
      <w:r>
        <w:t xml:space="preserve">A</w:t>
      </w:r>
    </w:p>
    <w:p>
      <w:pPr>
        <w:pStyle w:val="BodyText"/>
      </w:pPr>
      <w:r>
        <w:t xml:space="preserve">GM42</w:t>
      </w:r>
    </w:p>
    <w:p>
      <w:pPr>
        <w:pStyle w:val="BodyText"/>
      </w:pPr>
      <w:r>
        <w:t xml:space="preserve">49.9</w:t>
      </w:r>
    </w:p>
    <w:p>
      <w:pPr>
        <w:pStyle w:val="BodyText"/>
      </w:pPr>
      <w:r>
        <w:t xml:space="preserve">5953</w:t>
      </w:r>
    </w:p>
    <w:p>
      <w:pPr>
        <w:pStyle w:val="BodyText"/>
      </w:pPr>
      <w:r>
        <w:t xml:space="preserve">327.7</w:t>
      </w:r>
    </w:p>
    <w:p>
      <w:pPr>
        <w:pStyle w:val="BodyText"/>
      </w:pPr>
      <w:r>
        <w:t xml:space="preserve">A</w:t>
      </w:r>
    </w:p>
    <w:p>
      <w:pPr>
        <w:pStyle w:val="BodyText"/>
      </w:pPr>
      <w:r>
        <w:t xml:space="preserve">FM31</w:t>
      </w:r>
    </w:p>
    <w:p>
      <w:pPr>
        <w:pStyle w:val="BodyText"/>
      </w:pPr>
      <w:r>
        <w:t xml:space="preserve">53.2</w:t>
      </w:r>
    </w:p>
    <w:p>
      <w:pPr>
        <w:pStyle w:val="BodyText"/>
      </w:pPr>
      <w:r>
        <w:t xml:space="preserve">10991</w:t>
      </w:r>
    </w:p>
    <w:p>
      <w:pPr>
        <w:pStyle w:val="BodyText"/>
      </w:pPr>
      <w:r>
        <w:t xml:space="preserve">731.7</w:t>
      </w:r>
    </w:p>
    <w:p>
      <w:pPr>
        <w:pStyle w:val="BodyText"/>
      </w:pPr>
      <w:r>
        <w:t xml:space="preserve">A</w:t>
      </w:r>
    </w:p>
    <w:p>
      <w:pPr>
        <w:pStyle w:val="BodyText"/>
      </w:pPr>
      <w:r>
        <w:t xml:space="preserve">COG55</w:t>
      </w:r>
    </w:p>
    <w:p>
      <w:pPr>
        <w:pStyle w:val="BodyText"/>
      </w:pPr>
      <w:r>
        <w:t xml:space="preserve">54.1</w:t>
      </w:r>
    </w:p>
    <w:p>
      <w:pPr>
        <w:pStyle w:val="BodyText"/>
      </w:pPr>
      <w:r>
        <w:t xml:space="preserve">5647</w:t>
      </w:r>
    </w:p>
    <w:p>
      <w:pPr>
        <w:pStyle w:val="BodyText"/>
      </w:pPr>
      <w:r>
        <w:t xml:space="preserve">420.3</w:t>
      </w:r>
    </w:p>
    <w:p>
      <w:pPr>
        <w:pStyle w:val="BodyText"/>
      </w:pPr>
      <w:r>
        <w:t xml:space="preserve">A</w:t>
      </w:r>
    </w:p>
    <w:p>
      <w:pPr>
        <w:pStyle w:val="BodyText"/>
      </w:pPr>
      <w:r>
        <w:t xml:space="preserve">FM72</w:t>
      </w:r>
    </w:p>
    <w:p>
      <w:pPr>
        <w:pStyle w:val="BodyText"/>
      </w:pPr>
      <w:r>
        <w:t xml:space="preserve">57.1</w:t>
      </w:r>
    </w:p>
    <w:p>
      <w:pPr>
        <w:pStyle w:val="BodyText"/>
      </w:pPr>
      <w:r>
        <w:t xml:space="preserve">5430</w:t>
      </w:r>
    </w:p>
    <w:p>
      <w:pPr>
        <w:pStyle w:val="BodyText"/>
      </w:pPr>
      <w:r>
        <w:t xml:space="preserve">253.6</w:t>
      </w:r>
    </w:p>
    <w:p>
      <w:pPr>
        <w:pStyle w:val="BodyText"/>
      </w:pPr>
      <w:r>
        <w:t xml:space="preserve">A</w:t>
      </w:r>
    </w:p>
    <w:p>
      <w:pPr>
        <w:pStyle w:val="BodyText"/>
      </w:pPr>
      <w:r>
        <w:t xml:space="preserve">EXP26</w:t>
      </w:r>
    </w:p>
    <w:p>
      <w:pPr>
        <w:pStyle w:val="BodyText"/>
      </w:pPr>
      <w:r>
        <w:t xml:space="preserve">59.1</w:t>
      </w:r>
    </w:p>
    <w:p>
      <w:pPr>
        <w:pStyle w:val="BodyText"/>
      </w:pPr>
      <w:r>
        <w:t xml:space="preserve">9119</w:t>
      </w:r>
    </w:p>
    <w:p>
      <w:pPr>
        <w:pStyle w:val="BodyText"/>
      </w:pPr>
      <w:r>
        <w:t xml:space="preserve">578.8</w:t>
      </w:r>
    </w:p>
    <w:p>
      <w:pPr>
        <w:pStyle w:val="BodyText"/>
      </w:pPr>
      <w:r>
        <w:t xml:space="preserve">A</w:t>
      </w:r>
    </w:p>
    <w:p>
      <w:pPr>
        <w:pStyle w:val="BodyText"/>
      </w:pPr>
      <w:r>
        <w:t xml:space="preserve">SA1</w:t>
      </w:r>
    </w:p>
    <w:p>
      <w:pPr>
        <w:pStyle w:val="BodyText"/>
      </w:pPr>
      <w:r>
        <w:t xml:space="preserve">60.1</w:t>
      </w:r>
    </w:p>
    <w:p>
      <w:pPr>
        <w:pStyle w:val="BodyText"/>
      </w:pPr>
      <w:r>
        <w:t xml:space="preserve">3363</w:t>
      </w:r>
    </w:p>
    <w:p>
      <w:pPr>
        <w:pStyle w:val="BodyText"/>
      </w:pPr>
      <w:r>
        <w:t xml:space="preserve">172.1</w:t>
      </w:r>
    </w:p>
    <w:p>
      <w:pPr>
        <w:pStyle w:val="BodyText"/>
      </w:pPr>
      <w:r>
        <w:t xml:space="preserve">A</w:t>
      </w:r>
    </w:p>
    <w:p>
      <w:pPr>
        <w:pStyle w:val="BodyText"/>
      </w:pPr>
      <w:r>
        <w:t xml:space="preserve">FM38</w:t>
      </w:r>
    </w:p>
    <w:p>
      <w:pPr>
        <w:pStyle w:val="BodyText"/>
      </w:pPr>
      <w:r>
        <w:t xml:space="preserve">60.9</w:t>
      </w:r>
    </w:p>
    <w:p>
      <w:pPr>
        <w:pStyle w:val="BodyText"/>
      </w:pPr>
      <w:r>
        <w:t xml:space="preserve">10236</w:t>
      </w:r>
    </w:p>
    <w:p>
      <w:pPr>
        <w:pStyle w:val="BodyText"/>
      </w:pPr>
      <w:r>
        <w:t xml:space="preserve">491.7</w:t>
      </w:r>
    </w:p>
    <w:p>
      <w:pPr>
        <w:pStyle w:val="BodyText"/>
      </w:pPr>
      <w:r>
        <w:t xml:space="preserve">A</w:t>
      </w:r>
    </w:p>
    <w:p>
      <w:pPr>
        <w:pStyle w:val="BodyText"/>
      </w:pPr>
      <w:r>
        <w:t xml:space="preserve">FM52</w:t>
      </w:r>
    </w:p>
    <w:p>
      <w:pPr>
        <w:pStyle w:val="BodyText"/>
      </w:pPr>
      <w:r>
        <w:t xml:space="preserve">67.8</w:t>
      </w:r>
    </w:p>
    <w:p>
      <w:pPr>
        <w:pStyle w:val="BodyText"/>
      </w:pPr>
      <w:r>
        <w:t xml:space="preserve">13487</w:t>
      </w:r>
    </w:p>
    <w:p>
      <w:pPr>
        <w:pStyle w:val="BodyText"/>
      </w:pPr>
      <w:r>
        <w:t xml:space="preserve">1159.9</w:t>
      </w:r>
    </w:p>
    <w:p>
      <w:pPr>
        <w:pStyle w:val="BodyText"/>
      </w:pPr>
      <w:r>
        <w:t xml:space="preserve">A</w:t>
      </w:r>
    </w:p>
    <w:p>
      <w:pPr>
        <w:pStyle w:val="BodyText"/>
      </w:pPr>
      <w:r>
        <w:t xml:space="preserve">FM43</w:t>
      </w:r>
    </w:p>
    <w:p>
      <w:pPr>
        <w:pStyle w:val="BodyText"/>
      </w:pPr>
      <w:r>
        <w:t xml:space="preserve">69.7</w:t>
      </w:r>
    </w:p>
    <w:p>
      <w:pPr>
        <w:pStyle w:val="BodyText"/>
      </w:pPr>
      <w:r>
        <w:t xml:space="preserve">15765</w:t>
      </w:r>
    </w:p>
    <w:p>
      <w:pPr>
        <w:pStyle w:val="BodyText"/>
      </w:pPr>
      <w:r>
        <w:t xml:space="preserve">1563.9</w:t>
      </w:r>
    </w:p>
    <w:p>
      <w:pPr>
        <w:pStyle w:val="BodyText"/>
      </w:pPr>
      <w:r>
        <w:t xml:space="preserve">A</w:t>
      </w:r>
    </w:p>
    <w:p>
      <w:pPr>
        <w:pStyle w:val="BodyText"/>
      </w:pPr>
      <w:r>
        <w:t xml:space="preserve">GM60</w:t>
      </w:r>
    </w:p>
    <w:p>
      <w:pPr>
        <w:pStyle w:val="BodyText"/>
      </w:pPr>
      <w:r>
        <w:t xml:space="preserve">70.1</w:t>
      </w:r>
    </w:p>
    <w:p>
      <w:pPr>
        <w:pStyle w:val="BodyText"/>
      </w:pPr>
      <w:r>
        <w:t xml:space="preserve">9519</w:t>
      </w:r>
    </w:p>
    <w:p>
      <w:pPr>
        <w:pStyle w:val="BodyText"/>
      </w:pPr>
      <w:r>
        <w:t xml:space="preserve">1070.6</w:t>
      </w:r>
    </w:p>
    <w:p>
      <w:pPr>
        <w:pStyle w:val="BodyText"/>
      </w:pPr>
      <w:r>
        <w:t xml:space="preserve">A</w:t>
      </w:r>
    </w:p>
    <w:p>
      <w:pPr>
        <w:pStyle w:val="BodyText"/>
      </w:pPr>
      <w:r>
        <w:t xml:space="preserve">REC40</w:t>
      </w:r>
    </w:p>
    <w:p>
      <w:pPr>
        <w:pStyle w:val="BodyText"/>
      </w:pPr>
      <w:r>
        <w:t xml:space="preserve">71.0</w:t>
      </w:r>
    </w:p>
    <w:p>
      <w:pPr>
        <w:pStyle w:val="BodyText"/>
      </w:pPr>
      <w:r>
        <w:t xml:space="preserve">10393</w:t>
      </w:r>
    </w:p>
    <w:p>
      <w:pPr>
        <w:pStyle w:val="BodyText"/>
      </w:pPr>
      <w:r>
        <w:t xml:space="preserve">1182.9</w:t>
      </w:r>
    </w:p>
    <w:p>
      <w:pPr>
        <w:pStyle w:val="BodyText"/>
      </w:pPr>
      <w:r>
        <w:t xml:space="preserve">A</w:t>
      </w:r>
    </w:p>
    <w:p>
      <w:pPr>
        <w:pStyle w:val="BodyText"/>
      </w:pPr>
      <w:r>
        <w:t xml:space="preserve">FM61</w:t>
      </w:r>
    </w:p>
    <w:p>
      <w:pPr>
        <w:pStyle w:val="BodyText"/>
      </w:pPr>
      <w:r>
        <w:t xml:space="preserve">72.6</w:t>
      </w:r>
    </w:p>
    <w:p>
      <w:pPr>
        <w:pStyle w:val="BodyText"/>
      </w:pPr>
      <w:r>
        <w:t xml:space="preserve">10612</w:t>
      </w:r>
    </w:p>
    <w:p>
      <w:pPr>
        <w:pStyle w:val="BodyText"/>
      </w:pPr>
      <w:r>
        <w:t xml:space="preserve">945.9</w:t>
      </w:r>
    </w:p>
    <w:p>
      <w:pPr>
        <w:pStyle w:val="BodyText"/>
      </w:pPr>
      <w:r>
        <w:t xml:space="preserve">A</w:t>
      </w:r>
    </w:p>
    <w:bookmarkEnd w:id="96"/>
    <w:bookmarkStart w:id="98" w:name="sec:finalmodel"/>
    <w:p>
      <w:pPr>
        <w:pStyle w:val="Heading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28"/>
        </w:numPr>
        <w:pStyle w:val="Compact"/>
      </w:pPr>
      <w:r>
        <w:t xml:space="preserve">preserving as many items as possible that fit the model;</w:t>
      </w:r>
    </w:p>
    <w:p>
      <w:pPr>
        <w:numPr>
          <w:ilvl w:val="0"/>
          <w:numId w:val="1028"/>
        </w:numPr>
        <w:pStyle w:val="Compact"/>
      </w:pPr>
      <w:r>
        <w:t xml:space="preserve">finding high-quality active equate groups that span many cohorts and instruments;</w:t>
      </w:r>
    </w:p>
    <w:p>
      <w:pPr>
        <w:numPr>
          <w:ilvl w:val="0"/>
          <w:numId w:val="1028"/>
        </w:numPr>
        <w:pStyle w:val="Compact"/>
      </w:pPr>
      <w:r>
        <w:t xml:space="preserve">picking active equate groups for which we have enough information;</w:t>
      </w:r>
    </w:p>
    <w:p>
      <w:pPr>
        <w:numPr>
          <w:ilvl w:val="0"/>
          <w:numId w:val="1028"/>
        </w:numPr>
        <w:pStyle w:val="Compact"/>
      </w:pPr>
      <w:r>
        <w:t xml:space="preserve">providing reasonable age-conditional distributions of the D-score;</w:t>
      </w:r>
    </w:p>
    <w:p>
      <w:pPr>
        <w:numPr>
          <w:ilvl w:val="0"/>
          <w:numId w:val="1028"/>
        </w:numPr>
        <w:pStyle w:val="Compact"/>
      </w:pPr>
      <w:r>
        <w:t xml:space="preserve">representing various developmental domains in a fair way;</w:t>
      </w:r>
    </w:p>
    <w:p>
      <w:pPr>
        <w:numPr>
          <w:ilvl w:val="0"/>
          <w:numId w:val="1028"/>
        </w:numPr>
        <w:pStyle w:val="Compact"/>
      </w:pPr>
      <w:r>
        <w:t xml:space="preserve">preserving well-fitting historical models as new data become available;</w:t>
      </w:r>
    </w:p>
    <w:p>
      <w:pPr>
        <w:numPr>
          <w:ilvl w:val="0"/>
          <w:numId w:val="1028"/>
        </w:numPr>
        <w:pStyle w:val="Compact"/>
      </w:pPr>
      <w:r>
        <w:t xml:space="preserve">maintaining a reasonable calculation time.</w:t>
      </w:r>
    </w:p>
    <w:p>
      <w:pPr>
        <w:pStyle w:val="FirstParagraph"/>
      </w:pPr>
      <w:r>
        <w:t xml:space="preserve">This chapter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BodyTex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97">
        <w:r>
          <w:rPr>
            <w:rStyle w:val="VerbatimChar"/>
          </w:rPr>
          <w:t xml:space="preserve">dmodel</w:t>
        </w:r>
        <w:r>
          <w:rPr>
            <w:rStyle w:val="Hyperlink"/>
          </w:rPr>
          <w:t xml:space="preserve"> </w:t>
        </w:r>
        <w:r>
          <w:rPr>
            <w:rStyle w:val="Hyperlink"/>
          </w:rPr>
          <w:t xml:space="preserve">shiny app</w:t>
        </w:r>
      </w:hyperlink>
      <w:r>
        <w:t xml:space="preserve">.</w:t>
      </w:r>
    </w:p>
    <w:bookmarkEnd w:id="98"/>
    <w:bookmarkEnd w:id="99"/>
    <w:bookmarkStart w:id="118" w:name="ch:ability"/>
    <w:p>
      <w:pPr>
        <w:pStyle w:val="Heading1"/>
      </w:pPr>
      <w:r>
        <w:rPr>
          <w:rStyle w:val="SectionNumber"/>
        </w:rPr>
        <w:t xml:space="preserve">6</w:t>
      </w:r>
      <w:r>
        <w:tab/>
      </w:r>
      <w:r>
        <w:t xml:space="preserve">Comparing ability</w:t>
      </w:r>
    </w:p>
    <w:p>
      <w:pPr>
        <w:pStyle w:val="BlockText"/>
      </w:pPr>
      <w:r>
        <w:t xml:space="preserve">Author: Iris Eekhout, Stef van Buuren</w:t>
      </w:r>
    </w:p>
    <w:p>
      <w:pPr>
        <w:pStyle w:val="FirstParagraph"/>
      </w:pPr>
      <w:r>
        <w:t xml:space="preserve">Once we identified a satisfactory D-score model, we may calculate the D-score for children from different cohorts and compare their values. This chapter highlights various techniques and issues for comparing D-score distributions between studies. We will address the following topics:</w:t>
      </w:r>
    </w:p>
    <w:p>
      <w:pPr>
        <w:numPr>
          <w:ilvl w:val="0"/>
          <w:numId w:val="1029"/>
        </w:numPr>
        <w:pStyle w:val="Compact"/>
      </w:pPr>
      <w:r>
        <w:t xml:space="preserve">Comparing child development across studies (</w:t>
      </w:r>
      <w:r>
        <w:t xml:space="preserve">6.1</w:t>
      </w:r>
      <w:r>
        <w:t xml:space="preserve">)</w:t>
      </w:r>
    </w:p>
    <w:p>
      <w:pPr>
        <w:numPr>
          <w:ilvl w:val="0"/>
          <w:numId w:val="1029"/>
        </w:numPr>
        <w:pStyle w:val="Compact"/>
      </w:pPr>
      <w:r>
        <w:t xml:space="preserve">Precision of the D-score (</w:t>
      </w:r>
      <w:r>
        <w:t xml:space="preserve">6.2</w:t>
      </w:r>
      <w:r>
        <w:t xml:space="preserve">)</w:t>
      </w:r>
    </w:p>
    <w:p>
      <w:pPr>
        <w:numPr>
          <w:ilvl w:val="0"/>
          <w:numId w:val="1029"/>
        </w:numPr>
        <w:pStyle w:val="Compact"/>
      </w:pPr>
      <w:r>
        <w:t xml:space="preserve">Domain coverage (</w:t>
      </w:r>
      <w:r>
        <w:t xml:space="preserve">6.3</w:t>
      </w:r>
      <w:r>
        <w:t xml:space="preserve">)</w:t>
      </w:r>
    </w:p>
    <w:bookmarkStart w:id="103" w:name="sec:dscores"/>
    <w:p>
      <w:pPr>
        <w:pStyle w:val="Heading2"/>
      </w:pPr>
      <w:r>
        <w:rPr>
          <w:rStyle w:val="SectionNumber"/>
        </w:rPr>
        <w:t xml:space="preserve">6.1</w:t>
      </w:r>
      <w:r>
        <w:tab/>
      </w:r>
      <w:r>
        <w:t xml:space="preserve">Comparing child development across studies</w:t>
      </w:r>
    </w:p>
    <w:p>
      <w:pPr>
        <w:pStyle w:val="CaptionedFigure"/>
      </w:pPr>
      <w:r>
        <w:drawing>
          <wp:inline>
            <wp:extent cx="5334000" cy="5614736"/>
            <wp:effectExtent b="0" l="0" r="0" t="0"/>
            <wp:docPr descr="Figure 6.1: D-score distributions by study. Click ZOOM to enlarge the image." title="" id="1" name="Picture"/>
            <a:graphic>
              <a:graphicData uri="http://schemas.openxmlformats.org/drawingml/2006/picture">
                <pic:pic>
                  <pic:nvPicPr>
                    <pic:cNvPr descr="fig/fig_6.1.png" id="0" name="Picture"/>
                    <pic:cNvPicPr>
                      <a:picLocks noChangeArrowheads="1" noChangeAspect="1"/>
                    </pic:cNvPicPr>
                  </pic:nvPicPr>
                  <pic:blipFill>
                    <a:blip r:embed="rId100"/>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6.1: D-score distributions by study. Click</w:t>
      </w:r>
      <w:r>
        <w:t xml:space="preserve"> </w:t>
      </w:r>
      <w:hyperlink r:id="rId101">
        <w:r>
          <w:rPr>
            <w:rStyle w:val="Hyperlink"/>
          </w:rPr>
          <w:t xml:space="preserve">ZOOM</w:t>
        </w:r>
      </w:hyperlink>
      <w:r>
        <w:t xml:space="preserve"> </w:t>
      </w:r>
      <w:r>
        <w:t xml:space="preserve">to enlarge the image.</w:t>
      </w:r>
    </w:p>
    <w:p>
      <w:pPr>
        <w:pStyle w:val="BodyTex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BodyText"/>
      </w:pPr>
      <w:r>
        <w:t xml:space="preserve">The five blue lines guide the eye. These lines indicate the locations of the -2SD, -1SD, 0SD, +1SD and +2SD quantiles at each age in the combined data.</w:t>
      </w:r>
      <w:r>
        <w:t xml:space="preserve"> </w:t>
      </w:r>
      <w:hyperlink r:id="rId102">
        <w:r>
          <w:rPr>
            <w:rStyle w:val="Hyperlink"/>
          </w:rPr>
          <w:t xml:space="preserve">Section I:5.4</w:t>
        </w:r>
      </w:hyperlink>
      <w:r>
        <w:t xml:space="preserve"> </w:t>
      </w:r>
      <w:r>
        <w:t xml:space="preserve">motivates the idea and provides some technical details. We’ll come back to these lines in section</w:t>
      </w:r>
      <w:r>
        <w:t xml:space="preserve"> </w:t>
      </w:r>
      <w:r>
        <w:t xml:space="preserve">7.2</w:t>
      </w:r>
      <w:r>
        <w:t xml:space="preserve">.</w:t>
      </w:r>
    </w:p>
    <w:p>
      <w:pPr>
        <w:pStyle w:val="BodyTex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weak calibration of the instrument.</w:t>
      </w:r>
    </w:p>
    <w:p>
      <w:pPr>
        <w:pStyle w:val="BodyText"/>
      </w:pPr>
      <w:r>
        <w:t xml:space="preserve">Replacing the D-score by the DAZ emphasises any differences both within and between studies.</w:t>
      </w:r>
    </w:p>
    <w:p>
      <w:pPr>
        <w:pStyle w:val="BodyText"/>
      </w:pPr>
      <w:r>
        <w:t xml:space="preserve">[Include DAZ plot here]</w:t>
      </w:r>
    </w:p>
    <w:bookmarkEnd w:id="103"/>
    <w:bookmarkStart w:id="111" w:name="sec:sem"/>
    <w:p>
      <w:pPr>
        <w:pStyle w:val="Heading2"/>
      </w:pPr>
      <w:r>
        <w:rPr>
          <w:rStyle w:val="SectionNumber"/>
        </w:rPr>
        <w:t xml:space="preserve">6.2</w:t>
      </w:r>
      <w:r>
        <w:tab/>
      </w:r>
      <w:r>
        <w:t xml:space="preserve">Precision of the D-score</w:t>
      </w:r>
    </w:p>
    <w:p>
      <w:pPr>
        <w:pStyle w:val="FirstParagraph"/>
      </w:pPr>
      <w:r>
        <w:t xml:space="preserve">The</w:t>
      </w:r>
      <w:r>
        <w:t xml:space="preserve"> </w:t>
      </w:r>
      <w:hyperlink r:id="rId104">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 sem of the D-score drops.</w:t>
      </w:r>
    </w:p>
    <w:p>
      <w:pPr>
        <w:pStyle w:val="CaptionedFigure"/>
      </w:pPr>
      <w:r>
        <w:drawing>
          <wp:inline>
            <wp:extent cx="5334000" cy="4445000"/>
            <wp:effectExtent b="0" l="0" r="0" t="0"/>
            <wp:docPr descr="Figure 6.2: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0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6.2: Standard error of measurement (</w:t>
      </w:r>
      <w:r>
        <w:rPr>
          <w:i/>
        </w:rPr>
        <w:t xml:space="preserve">sem</w:t>
      </w:r>
      <w:r>
        <w:t xml:space="preserve">) as a function of the number of items.</w:t>
      </w:r>
    </w:p>
    <w:p>
      <w:pPr>
        <w:pStyle w:val="BodyText"/>
      </w:pPr>
      <w:r>
        <w:t xml:space="preserve">Figure</w:t>
      </w:r>
      <w:r>
        <w:t xml:space="preserve"> </w:t>
      </w:r>
      <w:r>
        <w:t xml:space="preserve">6.2</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334000" cy="5334000"/>
            <wp:effectExtent b="0" l="0" r="0" t="0"/>
            <wp:docPr descr="Figure 6.3: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Mean DAZ</w:t>
      </w:r>
      <w:r>
        <w:t xml:space="preserve"> </w:t>
      </w:r>
      <m:oMath>
        <m:r>
          <m:t>±</m:t>
        </m:r>
      </m:oMath>
      <w:r>
        <w:t xml:space="preserve"> </w:t>
      </w:r>
      <w:r>
        <w:rPr>
          <w:i/>
        </w:rPr>
        <w:t xml:space="preserve">sem</w:t>
      </w:r>
      <w:r>
        <w:t xml:space="preserve"> </w:t>
      </w:r>
      <w:r>
        <w:t xml:space="preserve">as a function of age.</w:t>
      </w:r>
    </w:p>
    <w:p>
      <w:pPr>
        <w:pStyle w:val="BodyText"/>
      </w:pPr>
      <w:r>
        <w:t xml:space="preserve">One may wonder whether the</w:t>
      </w:r>
      <w:r>
        <w:t xml:space="preserve"> </w:t>
      </w:r>
      <w:r>
        <w:rPr>
          <w:i/>
        </w:rPr>
        <w:t xml:space="preserve">sem</w:t>
      </w:r>
      <w:r>
        <w:t xml:space="preserve"> </w:t>
      </w:r>
      <w:r>
        <w:t xml:space="preserve">depends on age. Figure</w:t>
      </w:r>
      <w:r>
        <w:t xml:space="preserve"> </w:t>
      </w:r>
      <w:r>
        <w:t xml:space="preserve">6.3</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CaptionedFigure"/>
      </w:pPr>
      <w:r>
        <w:drawing>
          <wp:inline>
            <wp:extent cx="5334000" cy="5614736"/>
            <wp:effectExtent b="0" l="0" r="0" t="0"/>
            <wp:docPr descr="Figure 6.4: The standard error of measurement (sem) around the age-standardized D-scores (DAZ) per cohort. Click ZOOM to enlarge the display." title="" id="1" name="Picture"/>
            <a:graphic>
              <a:graphicData uri="http://schemas.openxmlformats.org/drawingml/2006/picture">
                <pic:pic>
                  <pic:nvPicPr>
                    <pic:cNvPr descr="fig/fig_6.4.png" id="0" name="Picture"/>
                    <pic:cNvPicPr>
                      <a:picLocks noChangeArrowheads="1" noChangeAspect="1"/>
                    </pic:cNvPicPr>
                  </pic:nvPicPr>
                  <pic:blipFill>
                    <a:blip r:embed="rId107"/>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6.4: The standard error of measurement (</w:t>
      </w:r>
      <m:oMath>
        <m:r>
          <m:t>s</m:t>
        </m:r>
        <m:r>
          <m:t>e</m:t>
        </m:r>
        <m:r>
          <m:t>m</m:t>
        </m:r>
      </m:oMath>
      <w:r>
        <w:t xml:space="preserve">) around the age-standardized D-scores (DAZ) per cohort. Click</w:t>
      </w:r>
      <w:r>
        <w:t xml:space="preserve"> </w:t>
      </w:r>
      <w:hyperlink r:id="rId108">
        <w:r>
          <w:rPr>
            <w:rStyle w:val="Hyperlink"/>
          </w:rPr>
          <w:t xml:space="preserve">ZOOM</w:t>
        </w:r>
      </w:hyperlink>
      <w:r>
        <w:t xml:space="preserve"> </w:t>
      </w:r>
      <w:r>
        <w:t xml:space="preserve">to enlarge the display.</w:t>
      </w:r>
    </w:p>
    <w:p>
      <w:pPr>
        <w:pStyle w:val="BodyText"/>
      </w:pPr>
      <w:r>
        <w:t xml:space="preserve">Does precision vary with studies? The answer is yes. Figure</w:t>
      </w:r>
      <w:r>
        <w:t xml:space="preserve"> </w:t>
      </w:r>
      <w:r>
        <w:t xml:space="preserve">6.4</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334000" cy="3810000"/>
            <wp:effectExtent b="0" l="0" r="0" t="0"/>
            <wp:docPr descr="Figure 6.5: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0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6.5: Cohort Standard Error of Measurement (</w:t>
      </w:r>
      <w:r>
        <w:rPr>
          <w:i/>
        </w:rPr>
        <w:t xml:space="preserve">sem</w:t>
      </w:r>
      <w:r>
        <w:t xml:space="preserve">).</w:t>
      </w:r>
    </w:p>
    <w:p>
      <w:pPr>
        <w:pStyle w:val="BodyText"/>
      </w:pPr>
      <w:r>
        <w:t xml:space="preserve">Figure</w:t>
      </w:r>
      <w:r>
        <w:t xml:space="preserve"> </w:t>
      </w:r>
      <w:r>
        <w:t xml:space="preserve">6.5</w:t>
      </w:r>
      <w:r>
        <w:t xml:space="preserve"> </w:t>
      </w:r>
      <w:r>
        <w:t xml:space="preserve">summarises the</w:t>
      </w:r>
      <w:r>
        <w:t xml:space="preserve"> </w:t>
      </w:r>
      <m:oMath>
        <m:r>
          <m:t>s</m:t>
        </m:r>
        <m:r>
          <m:t>e</m:t>
        </m:r>
        <m:r>
          <m:t>m</m:t>
        </m:r>
      </m:oMath>
      <w:r>
        <w:t xml:space="preserve"> </w:t>
      </w:r>
      <w:r>
        <w:t xml:space="preserve">over the members of each cohort. The Ethiopia study GCDG-ETH is the most precise. In contrast, the D-score values in studies from South Africa, Ecuador and The Netherlands have sizeable measurement error.</w:t>
      </w:r>
    </w:p>
    <w:p>
      <w:pPr>
        <w:pStyle w:val="BodyText"/>
      </w:pPr>
      <w:r>
        <w:t xml:space="preserve">Table 6.1: Test length and probability to pass the items per cohort</w:t>
      </w:r>
    </w:p>
    <w:p>
      <w:pPr>
        <w:pStyle w:val="BodyText"/>
      </w:pPr>
      <w:r>
        <w:t xml:space="preserve">Cohort</w:t>
      </w:r>
    </w:p>
    <w:p>
      <w:pPr>
        <w:pStyle w:val="BodyText"/>
      </w:pPr>
      <w:r>
        <w:t xml:space="preserve">Test length</w:t>
      </w:r>
    </w:p>
    <w:p>
      <w:pPr>
        <w:pStyle w:val="BodyText"/>
      </w:pPr>
      <w:r>
        <w:t xml:space="preserve">Pass probability</w:t>
      </w:r>
    </w:p>
    <w:p>
      <w:pPr>
        <w:pStyle w:val="BodyText"/>
      </w:pPr>
      <w:r>
        <w:t xml:space="preserve">GCDG-ETH</w:t>
      </w:r>
    </w:p>
    <w:p>
      <w:pPr>
        <w:pStyle w:val="BodyText"/>
      </w:pPr>
      <w:r>
        <w:t xml:space="preserve">39</w:t>
      </w:r>
    </w:p>
    <w:p>
      <w:pPr>
        <w:pStyle w:val="BodyText"/>
      </w:pPr>
      <w:r>
        <w:t xml:space="preserve">0.66</w:t>
      </w:r>
    </w:p>
    <w:p>
      <w:pPr>
        <w:pStyle w:val="BodyText"/>
      </w:pPr>
      <w:r>
        <w:t xml:space="preserve">GCDG-CHL-1</w:t>
      </w:r>
    </w:p>
    <w:p>
      <w:pPr>
        <w:pStyle w:val="BodyText"/>
      </w:pPr>
      <w:r>
        <w:t xml:space="preserve">32</w:t>
      </w:r>
    </w:p>
    <w:p>
      <w:pPr>
        <w:pStyle w:val="BodyText"/>
      </w:pPr>
      <w:r>
        <w:t xml:space="preserve">0.67</w:t>
      </w:r>
    </w:p>
    <w:p>
      <w:pPr>
        <w:pStyle w:val="BodyText"/>
      </w:pPr>
      <w:r>
        <w:t xml:space="preserve">GCDG-COL-LT45M</w:t>
      </w:r>
    </w:p>
    <w:p>
      <w:pPr>
        <w:pStyle w:val="BodyText"/>
      </w:pPr>
      <w:r>
        <w:t xml:space="preserve">45</w:t>
      </w:r>
    </w:p>
    <w:p>
      <w:pPr>
        <w:pStyle w:val="BodyText"/>
      </w:pPr>
      <w:r>
        <w:t xml:space="preserve">0.64</w:t>
      </w:r>
    </w:p>
    <w:p>
      <w:pPr>
        <w:pStyle w:val="BodyText"/>
      </w:pPr>
      <w:r>
        <w:t xml:space="preserve">GCDG-COL-LT42M</w:t>
      </w:r>
    </w:p>
    <w:p>
      <w:pPr>
        <w:pStyle w:val="BodyText"/>
      </w:pPr>
      <w:r>
        <w:t xml:space="preserve">61</w:t>
      </w:r>
    </w:p>
    <w:p>
      <w:pPr>
        <w:pStyle w:val="BodyText"/>
      </w:pPr>
      <w:r>
        <w:t xml:space="preserve">0.62</w:t>
      </w:r>
    </w:p>
    <w:p>
      <w:pPr>
        <w:pStyle w:val="BodyText"/>
      </w:pPr>
      <w:r>
        <w:t xml:space="preserve">GCDG-JAM-LBW</w:t>
      </w:r>
    </w:p>
    <w:p>
      <w:pPr>
        <w:pStyle w:val="BodyText"/>
      </w:pPr>
      <w:r>
        <w:t xml:space="preserve">43</w:t>
      </w:r>
    </w:p>
    <w:p>
      <w:pPr>
        <w:pStyle w:val="BodyText"/>
      </w:pPr>
      <w:r>
        <w:t xml:space="preserve">0.55</w:t>
      </w:r>
    </w:p>
    <w:p>
      <w:pPr>
        <w:pStyle w:val="BodyText"/>
      </w:pPr>
      <w:r>
        <w:t xml:space="preserve">GCDG-CHN</w:t>
      </w:r>
    </w:p>
    <w:p>
      <w:pPr>
        <w:pStyle w:val="BodyText"/>
      </w:pPr>
      <w:r>
        <w:t xml:space="preserve">27</w:t>
      </w:r>
    </w:p>
    <w:p>
      <w:pPr>
        <w:pStyle w:val="BodyText"/>
      </w:pPr>
      <w:r>
        <w:t xml:space="preserve">0.50</w:t>
      </w:r>
    </w:p>
    <w:p>
      <w:pPr>
        <w:pStyle w:val="BodyText"/>
      </w:pPr>
      <w:r>
        <w:t xml:space="preserve">GCDG-JAM-STUNTED</w:t>
      </w:r>
    </w:p>
    <w:p>
      <w:pPr>
        <w:pStyle w:val="BodyText"/>
      </w:pPr>
      <w:r>
        <w:t xml:space="preserve">38</w:t>
      </w:r>
    </w:p>
    <w:p>
      <w:pPr>
        <w:pStyle w:val="BodyText"/>
      </w:pPr>
      <w:r>
        <w:t xml:space="preserve">0.65</w:t>
      </w:r>
    </w:p>
    <w:p>
      <w:pPr>
        <w:pStyle w:val="BodyText"/>
      </w:pPr>
      <w:r>
        <w:t xml:space="preserve">GCDG-CHL-2</w:t>
      </w:r>
    </w:p>
    <w:p>
      <w:pPr>
        <w:pStyle w:val="BodyText"/>
      </w:pPr>
      <w:r>
        <w:t xml:space="preserve">33</w:t>
      </w:r>
    </w:p>
    <w:p>
      <w:pPr>
        <w:pStyle w:val="BodyText"/>
      </w:pPr>
      <w:r>
        <w:t xml:space="preserve">0.48</w:t>
      </w:r>
    </w:p>
    <w:p>
      <w:pPr>
        <w:pStyle w:val="BodyText"/>
      </w:pPr>
      <w:r>
        <w:t xml:space="preserve">GCDG-BGD-7MO</w:t>
      </w:r>
    </w:p>
    <w:p>
      <w:pPr>
        <w:pStyle w:val="BodyText"/>
      </w:pPr>
      <w:r>
        <w:t xml:space="preserve">14</w:t>
      </w:r>
    </w:p>
    <w:p>
      <w:pPr>
        <w:pStyle w:val="BodyText"/>
      </w:pPr>
      <w:r>
        <w:t xml:space="preserve">0.38</w:t>
      </w:r>
    </w:p>
    <w:p>
      <w:pPr>
        <w:pStyle w:val="BodyText"/>
      </w:pPr>
      <w:r>
        <w:t xml:space="preserve">GCDG-MDG</w:t>
      </w:r>
    </w:p>
    <w:p>
      <w:pPr>
        <w:pStyle w:val="BodyText"/>
      </w:pPr>
      <w:r>
        <w:t xml:space="preserve">8</w:t>
      </w:r>
    </w:p>
    <w:p>
      <w:pPr>
        <w:pStyle w:val="BodyText"/>
      </w:pPr>
      <w:r>
        <w:t xml:space="preserve">0.35</w:t>
      </w:r>
    </w:p>
    <w:p>
      <w:pPr>
        <w:pStyle w:val="BodyText"/>
      </w:pPr>
      <w:r>
        <w:t xml:space="preserve">GCDG-BRA-1</w:t>
      </w:r>
    </w:p>
    <w:p>
      <w:pPr>
        <w:pStyle w:val="BodyText"/>
      </w:pPr>
      <w:r>
        <w:t xml:space="preserve">18</w:t>
      </w:r>
    </w:p>
    <w:p>
      <w:pPr>
        <w:pStyle w:val="BodyText"/>
      </w:pPr>
      <w:r>
        <w:t xml:space="preserve">0.89</w:t>
      </w:r>
    </w:p>
    <w:p>
      <w:pPr>
        <w:pStyle w:val="BodyText"/>
      </w:pPr>
      <w:r>
        <w:t xml:space="preserve">GCDG-NLD-SMOCC</w:t>
      </w:r>
    </w:p>
    <w:p>
      <w:pPr>
        <w:pStyle w:val="BodyText"/>
      </w:pPr>
      <w:r>
        <w:t xml:space="preserve">10</w:t>
      </w:r>
    </w:p>
    <w:p>
      <w:pPr>
        <w:pStyle w:val="BodyText"/>
      </w:pPr>
      <w:r>
        <w:t xml:space="preserve">0.80</w:t>
      </w:r>
    </w:p>
    <w:p>
      <w:pPr>
        <w:pStyle w:val="BodyText"/>
      </w:pPr>
      <w:r>
        <w:t xml:space="preserve">GCDG-NLD-2</w:t>
      </w:r>
    </w:p>
    <w:p>
      <w:pPr>
        <w:pStyle w:val="BodyText"/>
      </w:pPr>
      <w:r>
        <w:t xml:space="preserve">11</w:t>
      </w:r>
    </w:p>
    <w:p>
      <w:pPr>
        <w:pStyle w:val="BodyText"/>
      </w:pPr>
      <w:r>
        <w:t xml:space="preserve">1.00</w:t>
      </w:r>
    </w:p>
    <w:p>
      <w:pPr>
        <w:pStyle w:val="BodyText"/>
      </w:pPr>
      <w:r>
        <w:t xml:space="preserve">GCDG-ECU</w:t>
      </w:r>
    </w:p>
    <w:p>
      <w:pPr>
        <w:pStyle w:val="BodyText"/>
      </w:pPr>
      <w:r>
        <w:t xml:space="preserve">3</w:t>
      </w:r>
    </w:p>
    <w:p>
      <w:pPr>
        <w:pStyle w:val="BodyText"/>
      </w:pPr>
      <w:r>
        <w:t xml:space="preserve">0.67</w:t>
      </w:r>
    </w:p>
    <w:p>
      <w:pPr>
        <w:pStyle w:val="BodyText"/>
      </w:pPr>
      <w:r>
        <w:t xml:space="preserve">GCDG-ZAF</w:t>
      </w:r>
    </w:p>
    <w:p>
      <w:pPr>
        <w:pStyle w:val="BodyText"/>
      </w:pPr>
      <w:r>
        <w:t xml:space="preserve">12</w:t>
      </w:r>
    </w:p>
    <w:p>
      <w:pPr>
        <w:pStyle w:val="BodyText"/>
      </w:pPr>
      <w:r>
        <w:t xml:space="preserve">1.00</w:t>
      </w:r>
    </w:p>
    <w:p>
      <w:pPr>
        <w:pStyle w:val="BodyText"/>
      </w:pPr>
      <w:r>
        <w:t xml:space="preserve"> </w:t>
      </w:r>
    </w:p>
    <w:p>
      <w:pPr>
        <w:pStyle w:val="BodyTex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BodyText"/>
      </w:pPr>
      <w:r>
        <w:t xml:space="preserve">In general, the design of the study has a significant impact on the precision of the measurement.</w:t>
      </w:r>
      <w:r>
        <w:t xml:space="preserve"> </w:t>
      </w:r>
      <w:hyperlink r:id="rId110">
        <w:r>
          <w:rPr>
            <w:rStyle w:val="Hyperlink"/>
          </w:rPr>
          <w:t xml:space="preserve">Booklet III</w:t>
        </w:r>
      </w:hyperlink>
      <w:r>
        <w:t xml:space="preserve"> </w:t>
      </w:r>
      <w:r>
        <w:t xml:space="preserve">addresses the question how one may construct a measurement instrument that will be optimally precise given the goals of the research.</w:t>
      </w:r>
    </w:p>
    <w:bookmarkEnd w:id="111"/>
    <w:bookmarkStart w:id="117" w:name="sec:domains"/>
    <w:p>
      <w:pPr>
        <w:pStyle w:val="Heading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BodyText"/>
      </w:pPr>
      <w:r>
        <w:t xml:space="preserve">This section explores the following two questions:</w:t>
      </w:r>
    </w:p>
    <w:p>
      <w:pPr>
        <w:numPr>
          <w:ilvl w:val="0"/>
          <w:numId w:val="1030"/>
        </w:numPr>
        <w:pStyle w:val="Compact"/>
      </w:pPr>
      <w:r>
        <w:t xml:space="preserve">Can we break down the D-score by domain contribution, and if so, can we evaluate whether the D-score fairly represents all domains?</w:t>
      </w:r>
    </w:p>
    <w:p>
      <w:pPr>
        <w:numPr>
          <w:ilvl w:val="0"/>
          <w:numId w:val="1030"/>
        </w:numPr>
        <w:pStyle w:val="Compact"/>
      </w:pPr>
      <w:r>
        <w:t xml:space="preserve">Can we calculate domain-specific D-scores?</w:t>
      </w:r>
    </w:p>
    <w:bookmarkStart w:id="113" w:name="domain-coverage-of-the-scale"/>
    <w:p>
      <w:pPr>
        <w:pStyle w:val="Heading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334000" cy="2424545"/>
            <wp:effectExtent b="0" l="0" r="0" t="0"/>
            <wp:docPr descr="Figure 6.6: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1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6.6: Domain coverage of the D-score scale.</w:t>
      </w:r>
    </w:p>
    <w:p>
      <w:pPr>
        <w:pStyle w:val="BodyText"/>
      </w:pPr>
      <w:r>
        <w:t xml:space="preserve">Figure</w:t>
      </w:r>
      <w:r>
        <w:t xml:space="preserve"> </w:t>
      </w:r>
      <w:r>
        <w:t xml:space="preserve">6.6</w:t>
      </w:r>
      <w:r>
        <w:t xml:space="preserve"> </w:t>
      </w:r>
      <w:r>
        <w:t xml:space="preserve">shows the domain composition of the D-score across different levels of ability. Note that we miss domain information for a few items. The share of gross-motor is large in early development (e.g., between 15 and 30), and gradually tapers off at higher levels. Reversely, the percentage of cognition and language is relatively small before 30 but rapidly rises as the child matures. These transitions in domain composition look both reasonable and valid.</w:t>
      </w:r>
    </w:p>
    <w:bookmarkEnd w:id="113"/>
    <w:bookmarkStart w:id="116" w:name="domain-specific-d-scores"/>
    <w:p>
      <w:pPr>
        <w:pStyle w:val="Heading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 contribute to multiple domain-specific D-scores.</w:t>
      </w:r>
    </w:p>
    <w:p>
      <w:pPr>
        <w:pStyle w:val="CaptionedFigure"/>
      </w:pPr>
      <w:r>
        <w:drawing>
          <wp:inline>
            <wp:extent cx="5334000" cy="2424545"/>
            <wp:effectExtent b="0" l="0" r="0" t="0"/>
            <wp:docPr descr="Figure 6.7: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14"/>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6.7: Average domain-specific DAZ</w:t>
      </w:r>
      <w:r>
        <w:t xml:space="preserve"> </w:t>
      </w:r>
      <m:oMath>
        <m:r>
          <m:t>±</m:t>
        </m:r>
      </m:oMath>
      <w:r>
        <w:t xml:space="preserve"> </w:t>
      </w:r>
      <w:r>
        <w:rPr>
          <w:i/>
        </w:rPr>
        <w:t xml:space="preserve">sem</w:t>
      </w:r>
      <w:r>
        <w:t xml:space="preserve"> </w:t>
      </w:r>
      <w:r>
        <w:t xml:space="preserve">by cohort.</w:t>
      </w:r>
    </w:p>
    <w:p>
      <w:pPr>
        <w:pStyle w:val="BodyText"/>
      </w:pPr>
      <w:r>
        <w:t xml:space="preserve">Figure</w:t>
      </w:r>
      <w:r>
        <w:t xml:space="preserve"> </w:t>
      </w:r>
      <w:r>
        <w:t xml:space="preserve">6.7</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BodyTex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BodyText"/>
      </w:pPr>
      <w:r>
        <w:t xml:space="preserve">Table 6.2: Pearson correlation of the DAZ and five domain-specific DAZ scores</w:t>
      </w:r>
    </w:p>
    <w:p>
      <w:pPr>
        <w:pStyle w:val="BodyText"/>
      </w:pPr>
      <w:r>
        <w:t xml:space="preserve">DAZ</w:t>
      </w:r>
    </w:p>
    <w:p>
      <w:pPr>
        <w:pStyle w:val="BodyText"/>
      </w:pPr>
      <w:r>
        <w:t xml:space="preserve">Fine motor</w:t>
      </w:r>
    </w:p>
    <w:p>
      <w:pPr>
        <w:pStyle w:val="BodyText"/>
      </w:pPr>
      <w:r>
        <w:t xml:space="preserve">Gross Motor</w:t>
      </w:r>
    </w:p>
    <w:p>
      <w:pPr>
        <w:pStyle w:val="BodyText"/>
      </w:pPr>
      <w:r>
        <w:t xml:space="preserve">Cognitive</w:t>
      </w:r>
    </w:p>
    <w:p>
      <w:pPr>
        <w:pStyle w:val="BodyText"/>
      </w:pPr>
      <w:r>
        <w:t xml:space="preserve">Receptive</w:t>
      </w:r>
    </w:p>
    <w:p>
      <w:pPr>
        <w:pStyle w:val="BodyText"/>
      </w:pPr>
      <w:r>
        <w:t xml:space="preserve">Expressive</w:t>
      </w:r>
    </w:p>
    <w:p>
      <w:pPr>
        <w:pStyle w:val="BodyText"/>
      </w:pPr>
      <w:r>
        <w:t xml:space="preserve">DAZ</w:t>
      </w:r>
    </w:p>
    <w:p>
      <w:pPr>
        <w:pStyle w:val="BodyText"/>
      </w:pPr>
      <w:r>
        <w:t xml:space="preserve">1.00</w:t>
      </w:r>
    </w:p>
    <w:p>
      <w:pPr>
        <w:pStyle w:val="BodyText"/>
      </w:pPr>
      <w:r>
        <w:t xml:space="preserve">0.69</w:t>
      </w:r>
    </w:p>
    <w:p>
      <w:pPr>
        <w:pStyle w:val="BodyText"/>
      </w:pPr>
      <w:r>
        <w:t xml:space="preserve">0.57</w:t>
      </w:r>
    </w:p>
    <w:p>
      <w:pPr>
        <w:pStyle w:val="BodyText"/>
      </w:pPr>
      <w:r>
        <w:t xml:space="preserve">0.84</w:t>
      </w:r>
    </w:p>
    <w:p>
      <w:pPr>
        <w:pStyle w:val="BodyText"/>
      </w:pPr>
      <w:r>
        <w:t xml:space="preserve">0.70</w:t>
      </w:r>
    </w:p>
    <w:p>
      <w:pPr>
        <w:pStyle w:val="BodyText"/>
      </w:pPr>
      <w:r>
        <w:t xml:space="preserve">0.69</w:t>
      </w:r>
    </w:p>
    <w:p>
      <w:pPr>
        <w:pStyle w:val="BodyText"/>
      </w:pPr>
      <w:r>
        <w:t xml:space="preserve">Fine motor</w:t>
      </w:r>
    </w:p>
    <w:p>
      <w:pPr>
        <w:pStyle w:val="BodyText"/>
      </w:pPr>
      <w:r>
        <w:t xml:space="preserve">0.69</w:t>
      </w:r>
    </w:p>
    <w:p>
      <w:pPr>
        <w:pStyle w:val="BodyText"/>
      </w:pPr>
      <w:r>
        <w:t xml:space="preserve">1.00</w:t>
      </w:r>
    </w:p>
    <w:p>
      <w:pPr>
        <w:pStyle w:val="BodyText"/>
      </w:pPr>
      <w:r>
        <w:t xml:space="preserve">0.40</w:t>
      </w:r>
    </w:p>
    <w:p>
      <w:pPr>
        <w:pStyle w:val="BodyText"/>
      </w:pPr>
      <w:r>
        <w:t xml:space="preserve">0.74</w:t>
      </w:r>
    </w:p>
    <w:p>
      <w:pPr>
        <w:pStyle w:val="BodyText"/>
      </w:pPr>
      <w:r>
        <w:t xml:space="preserve">0.50</w:t>
      </w:r>
    </w:p>
    <w:p>
      <w:pPr>
        <w:pStyle w:val="BodyText"/>
      </w:pPr>
      <w:r>
        <w:t xml:space="preserve">0.39</w:t>
      </w:r>
    </w:p>
    <w:p>
      <w:pPr>
        <w:pStyle w:val="BodyText"/>
      </w:pPr>
      <w:r>
        <w:t xml:space="preserve">Gross Motor</w:t>
      </w:r>
    </w:p>
    <w:p>
      <w:pPr>
        <w:pStyle w:val="BodyText"/>
      </w:pPr>
      <w:r>
        <w:t xml:space="preserve">0.57</w:t>
      </w:r>
    </w:p>
    <w:p>
      <w:pPr>
        <w:pStyle w:val="BodyText"/>
      </w:pPr>
      <w:r>
        <w:t xml:space="preserve">0.40</w:t>
      </w:r>
    </w:p>
    <w:p>
      <w:pPr>
        <w:pStyle w:val="BodyText"/>
      </w:pPr>
      <w:r>
        <w:t xml:space="preserve">1.00</w:t>
      </w:r>
    </w:p>
    <w:p>
      <w:pPr>
        <w:pStyle w:val="BodyText"/>
      </w:pPr>
      <w:r>
        <w:t xml:space="preserve">0.43</w:t>
      </w:r>
    </w:p>
    <w:p>
      <w:pPr>
        <w:pStyle w:val="BodyText"/>
      </w:pPr>
      <w:r>
        <w:t xml:space="preserve">0.34</w:t>
      </w:r>
    </w:p>
    <w:p>
      <w:pPr>
        <w:pStyle w:val="BodyText"/>
      </w:pPr>
      <w:r>
        <w:t xml:space="preserve">0.30</w:t>
      </w:r>
    </w:p>
    <w:p>
      <w:pPr>
        <w:pStyle w:val="BodyText"/>
      </w:pPr>
      <w:r>
        <w:t xml:space="preserve">Cognitive</w:t>
      </w:r>
    </w:p>
    <w:p>
      <w:pPr>
        <w:pStyle w:val="BodyText"/>
      </w:pPr>
      <w:r>
        <w:t xml:space="preserve">0.84</w:t>
      </w:r>
    </w:p>
    <w:p>
      <w:pPr>
        <w:pStyle w:val="BodyText"/>
      </w:pPr>
      <w:r>
        <w:t xml:space="preserve">0.74</w:t>
      </w:r>
    </w:p>
    <w:p>
      <w:pPr>
        <w:pStyle w:val="BodyText"/>
      </w:pPr>
      <w:r>
        <w:t xml:space="preserve">0.43</w:t>
      </w:r>
    </w:p>
    <w:p>
      <w:pPr>
        <w:pStyle w:val="BodyText"/>
      </w:pPr>
      <w:r>
        <w:t xml:space="preserve">1.00</w:t>
      </w:r>
    </w:p>
    <w:p>
      <w:pPr>
        <w:pStyle w:val="BodyText"/>
      </w:pPr>
      <w:r>
        <w:t xml:space="preserve">0.76</w:t>
      </w:r>
    </w:p>
    <w:p>
      <w:pPr>
        <w:pStyle w:val="BodyText"/>
      </w:pPr>
      <w:r>
        <w:t xml:space="preserve">0.59</w:t>
      </w:r>
    </w:p>
    <w:p>
      <w:pPr>
        <w:pStyle w:val="BodyText"/>
      </w:pPr>
      <w:r>
        <w:t xml:space="preserve">Receptive</w:t>
      </w:r>
    </w:p>
    <w:p>
      <w:pPr>
        <w:pStyle w:val="BodyText"/>
      </w:pPr>
      <w:r>
        <w:t xml:space="preserve">0.70</w:t>
      </w:r>
    </w:p>
    <w:p>
      <w:pPr>
        <w:pStyle w:val="BodyText"/>
      </w:pPr>
      <w:r>
        <w:t xml:space="preserve">0.50</w:t>
      </w:r>
    </w:p>
    <w:p>
      <w:pPr>
        <w:pStyle w:val="BodyText"/>
      </w:pPr>
      <w:r>
        <w:t xml:space="preserve">0.34</w:t>
      </w:r>
    </w:p>
    <w:p>
      <w:pPr>
        <w:pStyle w:val="BodyText"/>
      </w:pPr>
      <w:r>
        <w:t xml:space="preserve">0.76</w:t>
      </w:r>
    </w:p>
    <w:p>
      <w:pPr>
        <w:pStyle w:val="BodyText"/>
      </w:pPr>
      <w:r>
        <w:t xml:space="preserve">1.00</w:t>
      </w:r>
    </w:p>
    <w:p>
      <w:pPr>
        <w:pStyle w:val="BodyText"/>
      </w:pPr>
      <w:r>
        <w:t xml:space="preserve">0.63</w:t>
      </w:r>
    </w:p>
    <w:p>
      <w:pPr>
        <w:pStyle w:val="BodyText"/>
      </w:pPr>
      <w:r>
        <w:t xml:space="preserve">Expressive</w:t>
      </w:r>
    </w:p>
    <w:p>
      <w:pPr>
        <w:pStyle w:val="BodyText"/>
      </w:pPr>
      <w:r>
        <w:t xml:space="preserve">0.69</w:t>
      </w:r>
    </w:p>
    <w:p>
      <w:pPr>
        <w:pStyle w:val="BodyText"/>
      </w:pPr>
      <w:r>
        <w:t xml:space="preserve">0.39</w:t>
      </w:r>
    </w:p>
    <w:p>
      <w:pPr>
        <w:pStyle w:val="BodyText"/>
      </w:pPr>
      <w:r>
        <w:t xml:space="preserve">0.30</w:t>
      </w:r>
    </w:p>
    <w:p>
      <w:pPr>
        <w:pStyle w:val="BodyText"/>
      </w:pPr>
      <w:r>
        <w:t xml:space="preserve">0.59</w:t>
      </w:r>
    </w:p>
    <w:p>
      <w:pPr>
        <w:pStyle w:val="BodyText"/>
      </w:pPr>
      <w:r>
        <w:t xml:space="preserve">0.63</w:t>
      </w:r>
    </w:p>
    <w:p>
      <w:pPr>
        <w:pStyle w:val="BodyText"/>
      </w:pPr>
      <w:r>
        <w:t xml:space="preserve">1.00</w:t>
      </w:r>
    </w:p>
    <w:p>
      <w:pPr>
        <w:pStyle w:val="BodyText"/>
      </w:pPr>
      <w:r>
        <w:t xml:space="preserve"> </w:t>
      </w:r>
    </w:p>
    <w:p>
      <w:pPr>
        <w:pStyle w:val="BodyTex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334000" cy="2424545"/>
            <wp:effectExtent b="0" l="0" r="0" t="0"/>
            <wp:docPr descr="Figure 6.8: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15"/>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6.8: Domain-specific D-scores for a 3 year old boy.</w:t>
      </w:r>
    </w:p>
    <w:p>
      <w:pPr>
        <w:pStyle w:val="BodyText"/>
      </w:pPr>
      <w:r>
        <w:t xml:space="preserve">Figure</w:t>
      </w:r>
      <w:r>
        <w:t xml:space="preserve"> </w:t>
      </w:r>
      <w:r>
        <w:t xml:space="preserve">6.8</w:t>
      </w:r>
      <w:r>
        <w:t xml:space="preserve"> </w:t>
      </w:r>
      <w:r>
        <w:t xml:space="preserve">displays individual scores for a boy aged three years. The filled bars indicate the number of available items per domain. Note that the number of items for Gross Motor is meagre (only three items). The vertical white line that crosses the horizontal axis at value 5 indicates a minimum number of items needed to calculate a D-score.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bookmarkEnd w:id="116"/>
    <w:bookmarkEnd w:id="117"/>
    <w:bookmarkEnd w:id="118"/>
    <w:bookmarkStart w:id="130" w:name="ch:SDGindicator"/>
    <w:p>
      <w:pPr>
        <w:pStyle w:val="Heading1"/>
      </w:pPr>
      <w:r>
        <w:rPr>
          <w:rStyle w:val="SectionNumber"/>
        </w:rPr>
        <w:t xml:space="preserve">7</w:t>
      </w:r>
      <w:r>
        <w:tab/>
      </w:r>
      <w:r>
        <w:t xml:space="preserve">Application I: Tracking a Sustainable Development Goal</w:t>
      </w:r>
    </w:p>
    <w:p>
      <w:pPr>
        <w:pStyle w:val="BlockText"/>
      </w:pPr>
      <w:r>
        <w:t xml:space="preserve">Author: Iris Eekhout</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BodyText"/>
      </w:pPr>
      <w:r>
        <w:t xml:space="preserve">This chapter explores the use of the D-score to monitor the progress of the indicator for healthy child development, SDG 4.2.1. We propose a method to define on-track development and show how the application of this method pans out for the GCDG data. More in detail, the chapter deals with the following topics:</w:t>
      </w:r>
    </w:p>
    <w:p>
      <w:pPr>
        <w:numPr>
          <w:ilvl w:val="0"/>
          <w:numId w:val="1031"/>
        </w:numPr>
        <w:pStyle w:val="Compact"/>
      </w:pPr>
      <w:r>
        <w:t xml:space="preserve">Estimating SDG 4.2.1 indicator from existing data (</w:t>
      </w:r>
      <w:r>
        <w:t xml:space="preserve">7.1</w:t>
      </w:r>
      <w:r>
        <w:t xml:space="preserve">)</w:t>
      </w:r>
    </w:p>
    <w:p>
      <w:pPr>
        <w:numPr>
          <w:ilvl w:val="0"/>
          <w:numId w:val="1031"/>
        </w:numPr>
        <w:pStyle w:val="Compact"/>
      </w:pPr>
      <w:r>
        <w:t xml:space="preserve">Definition</w:t>
      </w:r>
      <w:r>
        <w:t xml:space="preserve"> </w:t>
      </w:r>
      <w:r>
        <w:rPr>
          <w:i/>
        </w:rPr>
        <w:t xml:space="preserve">developmentally on track</w:t>
      </w:r>
      <w:r>
        <w:t xml:space="preserve"> </w:t>
      </w:r>
      <w:r>
        <w:t xml:space="preserve">(</w:t>
      </w:r>
      <w:r>
        <w:t xml:space="preserve">7.2</w:t>
      </w:r>
      <w:r>
        <w:t xml:space="preserve">)</w:t>
      </w:r>
    </w:p>
    <w:p>
      <w:pPr>
        <w:numPr>
          <w:ilvl w:val="0"/>
          <w:numId w:val="1031"/>
        </w:numPr>
        <w:pStyle w:val="Compact"/>
      </w:pPr>
      <w:r>
        <w:t xml:space="preserve">Country-level estimates (</w:t>
      </w:r>
      <w:r>
        <w:t xml:space="preserve">7.3</w:t>
      </w:r>
      <w:r>
        <w:t xml:space="preserve">)</w:t>
      </w:r>
    </w:p>
    <w:p>
      <w:pPr>
        <w:numPr>
          <w:ilvl w:val="0"/>
          <w:numId w:val="1031"/>
        </w:numPr>
        <w:pStyle w:val="Compact"/>
      </w:pPr>
      <w:r>
        <w:t xml:space="preserve">Relation to other estimates (</w:t>
      </w:r>
      <w:r>
        <w:t xml:space="preserve">7.4</w:t>
      </w:r>
      <w:r>
        <w:t xml:space="preserve">)</w:t>
      </w:r>
    </w:p>
    <w:bookmarkStart w:id="121" w:name="sec:application1"/>
    <w:p>
      <w:pPr>
        <w:pStyle w:val="Heading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19">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ckTex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ckTex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20">
        <w:r>
          <w:rPr>
            <w:rStyle w:val="Hyperlink"/>
          </w:rPr>
          <w:t xml:space="preserve">changed</w:t>
        </w:r>
      </w:hyperlink>
      <w:r>
        <w:t xml:space="preserve"> </w:t>
      </w:r>
      <w:r>
        <w:t xml:space="preserve">into</w:t>
      </w:r>
    </w:p>
    <w:p>
      <w:pPr>
        <w:pStyle w:val="BlockTex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ckTex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BodyTex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21"/>
    <w:bookmarkStart w:id="124" w:name="sec:references"/>
    <w:p>
      <w:pPr>
        <w:pStyle w:val="Heading2"/>
      </w:pPr>
      <w:r>
        <w:rPr>
          <w:rStyle w:val="SectionNumber"/>
        </w:rPr>
        <w:t xml:space="preserve">7.2</w:t>
      </w:r>
      <w:r>
        <w:tab/>
      </w:r>
      <w:r>
        <w:t xml:space="preserve">Definition</w:t>
      </w:r>
      <w:r>
        <w:t xml:space="preserve"> </w:t>
      </w:r>
      <w:r>
        <w:rPr>
          <w:i/>
        </w:rPr>
        <w:t xml:space="preserve">developmentally on track</w:t>
      </w:r>
    </w:p>
    <w:p>
      <w:pPr>
        <w:pStyle w:val="FirstParagraph"/>
      </w:pPr>
      <w:r>
        <w:t xml:space="preserve">In 2006, the World Health Organisation (WHO) published the</w:t>
      </w:r>
      <w:r>
        <w:t xml:space="preserve"> </w:t>
      </w:r>
      <w:hyperlink r:id="rId122">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would consist of the following steps:</w:t>
      </w:r>
    </w:p>
    <w:p>
      <w:pPr>
        <w:numPr>
          <w:ilvl w:val="0"/>
          <w:numId w:val="1032"/>
        </w:numPr>
        <w:pStyle w:val="Compact"/>
      </w:pPr>
      <w:r>
        <w:t xml:space="preserve">Measure child development on an interval scale;</w:t>
      </w:r>
    </w:p>
    <w:p>
      <w:pPr>
        <w:numPr>
          <w:ilvl w:val="0"/>
          <w:numId w:val="1032"/>
        </w:numPr>
        <w:pStyle w:val="Compact"/>
      </w:pPr>
      <w:r>
        <w:t xml:space="preserve">Estimate the age-conditional reference distribution for normal child development;</w:t>
      </w:r>
    </w:p>
    <w:p>
      <w:pPr>
        <w:numPr>
          <w:ilvl w:val="0"/>
          <w:numId w:val="1032"/>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CaptionedFigure"/>
      </w:pPr>
      <w:r>
        <w:drawing>
          <wp:inline>
            <wp:extent cx="5334000" cy="5614736"/>
            <wp:effectExtent b="0" l="0" r="0" t="0"/>
            <wp:docPr descr="Figure 7.1: Illustration of the method to define on-track development" title="" id="1" name="Picture"/>
            <a:graphic>
              <a:graphicData uri="http://schemas.openxmlformats.org/drawingml/2006/picture">
                <pic:pic>
                  <pic:nvPicPr>
                    <pic:cNvPr descr="fig/fig_7.1.png" id="0" name="Picture"/>
                    <pic:cNvPicPr>
                      <a:picLocks noChangeArrowheads="1" noChangeAspect="1"/>
                    </pic:cNvPicPr>
                  </pic:nvPicPr>
                  <pic:blipFill>
                    <a:blip r:embed="rId123"/>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7.1: Illustration of the method to define on-track development</w:t>
      </w:r>
    </w:p>
    <w:p>
      <w:pPr>
        <w:pStyle w:val="BodyTex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3"/>
        </w:numPr>
        <w:pStyle w:val="Compact"/>
      </w:pPr>
      <w:r>
        <w:t xml:space="preserve">Plot the D-score by age;</w:t>
      </w:r>
    </w:p>
    <w:p>
      <w:pPr>
        <w:numPr>
          <w:ilvl w:val="0"/>
          <w:numId w:val="1033"/>
        </w:numPr>
        <w:pStyle w:val="Compact"/>
      </w:pPr>
      <w:r>
        <w:t xml:space="preserve">Model the relation between age and D-score by an LMS model. In practice, this amounts to smoothing three curves representing the median, coefficient of variation and the skewness.</w:t>
      </w:r>
    </w:p>
    <w:p>
      <w:pPr>
        <w:numPr>
          <w:ilvl w:val="0"/>
          <w:numId w:val="1033"/>
        </w:numPr>
        <w:pStyle w:val="Compact"/>
      </w:pPr>
      <w:r>
        <w:t xml:space="preserve">Present the centile lines for the model;</w:t>
      </w:r>
    </w:p>
    <w:p>
      <w:pPr>
        <w:numPr>
          <w:ilvl w:val="0"/>
          <w:numId w:val="1033"/>
        </w:numPr>
        <w:pStyle w:val="Compact"/>
      </w:pPr>
      <w:r>
        <w:t xml:space="preserve">Plot the age-standardized scores for development (DAZ);</w:t>
      </w:r>
    </w:p>
    <w:p>
      <w:pPr>
        <w:numPr>
          <w:ilvl w:val="0"/>
          <w:numId w:val="1033"/>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3"/>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24"/>
    <w:bookmarkStart w:id="125" w:name="sec:countrytrack"/>
    <w:p>
      <w:pPr>
        <w:pStyle w:val="Heading2"/>
      </w:pPr>
      <w:r>
        <w:rPr>
          <w:rStyle w:val="SectionNumber"/>
        </w:rPr>
        <w:t xml:space="preserve">7.3</w:t>
      </w:r>
      <w:r>
        <w:tab/>
      </w:r>
      <w:r>
        <w:t xml:space="preserve">Country-level estimates</w:t>
      </w:r>
    </w:p>
    <w:p>
      <w:pPr>
        <w:pStyle w:val="FirstParagraph"/>
      </w:pPr>
      <w:r>
        <w:t xml:space="preserve">Table 7.1: Percentage of on-track children per country</w:t>
      </w:r>
    </w:p>
    <w:p>
      <w:pPr>
        <w:pStyle w:val="BodyText"/>
      </w:pPr>
      <w:r>
        <w:t xml:space="preserve">Country</w:t>
      </w:r>
    </w:p>
    <w:p>
      <w:pPr>
        <w:pStyle w:val="BodyText"/>
      </w:pPr>
      <w:r>
        <w:t xml:space="preserve">Percentage on-track</w:t>
      </w:r>
    </w:p>
    <w:p>
      <w:pPr>
        <w:pStyle w:val="BodyText"/>
      </w:pPr>
      <w:r>
        <w:t xml:space="preserve">BGD</w:t>
      </w:r>
    </w:p>
    <w:p>
      <w:pPr>
        <w:pStyle w:val="BodyText"/>
      </w:pPr>
      <w:r>
        <w:t xml:space="preserve">94.9</w:t>
      </w:r>
    </w:p>
    <w:p>
      <w:pPr>
        <w:pStyle w:val="BodyText"/>
      </w:pPr>
      <w:r>
        <w:t xml:space="preserve">BRA</w:t>
      </w:r>
    </w:p>
    <w:p>
      <w:pPr>
        <w:pStyle w:val="BodyText"/>
      </w:pPr>
      <w:r>
        <w:t xml:space="preserve">99.5</w:t>
      </w:r>
    </w:p>
    <w:p>
      <w:pPr>
        <w:pStyle w:val="BodyText"/>
      </w:pPr>
      <w:r>
        <w:t xml:space="preserve">CHL</w:t>
      </w:r>
    </w:p>
    <w:p>
      <w:pPr>
        <w:pStyle w:val="BodyText"/>
      </w:pPr>
      <w:r>
        <w:t xml:space="preserve">98.3</w:t>
      </w:r>
    </w:p>
    <w:p>
      <w:pPr>
        <w:pStyle w:val="BodyText"/>
      </w:pPr>
      <w:r>
        <w:t xml:space="preserve">CHN</w:t>
      </w:r>
    </w:p>
    <w:p>
      <w:pPr>
        <w:pStyle w:val="BodyText"/>
      </w:pPr>
      <w:r>
        <w:t xml:space="preserve">99.9</w:t>
      </w:r>
    </w:p>
    <w:p>
      <w:pPr>
        <w:pStyle w:val="BodyText"/>
      </w:pPr>
      <w:r>
        <w:t xml:space="preserve">COL</w:t>
      </w:r>
    </w:p>
    <w:p>
      <w:pPr>
        <w:pStyle w:val="BodyText"/>
      </w:pPr>
      <w:r>
        <w:t xml:space="preserve">98.9</w:t>
      </w:r>
    </w:p>
    <w:p>
      <w:pPr>
        <w:pStyle w:val="BodyText"/>
      </w:pPr>
      <w:r>
        <w:t xml:space="preserve">ECU</w:t>
      </w:r>
    </w:p>
    <w:p>
      <w:pPr>
        <w:pStyle w:val="BodyText"/>
      </w:pPr>
      <w:r>
        <w:t xml:space="preserve">93.9</w:t>
      </w:r>
    </w:p>
    <w:p>
      <w:pPr>
        <w:pStyle w:val="BodyText"/>
      </w:pPr>
      <w:r>
        <w:t xml:space="preserve">ETH</w:t>
      </w:r>
    </w:p>
    <w:p>
      <w:pPr>
        <w:pStyle w:val="BodyText"/>
      </w:pPr>
      <w:r>
        <w:t xml:space="preserve">99.4</w:t>
      </w:r>
    </w:p>
    <w:p>
      <w:pPr>
        <w:pStyle w:val="BodyText"/>
      </w:pPr>
      <w:r>
        <w:t xml:space="preserve">JAM</w:t>
      </w:r>
    </w:p>
    <w:p>
      <w:pPr>
        <w:pStyle w:val="BodyText"/>
      </w:pPr>
      <w:r>
        <w:t xml:space="preserve">99.6</w:t>
      </w:r>
    </w:p>
    <w:p>
      <w:pPr>
        <w:pStyle w:val="BodyText"/>
      </w:pPr>
      <w:r>
        <w:t xml:space="preserve">MDG</w:t>
      </w:r>
    </w:p>
    <w:p>
      <w:pPr>
        <w:pStyle w:val="BodyText"/>
      </w:pPr>
      <w:r>
        <w:t xml:space="preserve">96.6</w:t>
      </w:r>
    </w:p>
    <w:p>
      <w:pPr>
        <w:pStyle w:val="BodyText"/>
      </w:pPr>
      <w:r>
        <w:t xml:space="preserve">NLD</w:t>
      </w:r>
    </w:p>
    <w:p>
      <w:pPr>
        <w:pStyle w:val="BodyText"/>
      </w:pPr>
      <w:r>
        <w:t xml:space="preserve">96.8</w:t>
      </w:r>
    </w:p>
    <w:p>
      <w:pPr>
        <w:pStyle w:val="BodyText"/>
      </w:pPr>
      <w:r>
        <w:t xml:space="preserve">ZAF</w:t>
      </w:r>
    </w:p>
    <w:p>
      <w:pPr>
        <w:pStyle w:val="BodyText"/>
      </w:pPr>
      <w:r>
        <w:t xml:space="preserve">97.4</w:t>
      </w:r>
    </w:p>
    <w:p>
      <w:pPr>
        <w:pStyle w:val="BodyText"/>
      </w:pPr>
      <w:r>
        <w:t xml:space="preserve"> </w:t>
      </w:r>
    </w:p>
    <w:p>
      <w:pPr>
        <w:pStyle w:val="BodyTex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BodyTex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25"/>
    <w:bookmarkStart w:id="129" w:name="sec:otherestimates"/>
    <w:p>
      <w:pPr>
        <w:pStyle w:val="Heading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length growth in children due to nutrition problems. The WHO defines</w:t>
      </w:r>
      <w:r>
        <w:t xml:space="preserve"> </w:t>
      </w:r>
      <w:hyperlink r:id="rId126">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334000" cy="5334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BodyText"/>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4"/>
        </w:numPr>
        <w:pStyle w:val="Compact"/>
      </w:pPr>
      <w:r>
        <w:rPr>
          <w:i/>
        </w:rPr>
        <w:t xml:space="preserve">The variation in stunting in much larger than the variation off-track development</w:t>
      </w:r>
      <w:r>
        <w:t xml:space="preserve">. One might speculate that height is more dependent on the environment than off-track development, and hence more variable.</w:t>
      </w:r>
    </w:p>
    <w:p>
      <w:pPr>
        <w:numPr>
          <w:ilvl w:val="0"/>
          <w:numId w:val="1034"/>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334000" cy="3810000"/>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2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BodyText"/>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BodyText"/>
      </w:pPr>
      <w:r>
        <w:t xml:space="preserve">The exact nature of the relation between stunting and development is still obscure. The D-score provides a means to study the intriguing interplay between both measures in more detail.</w:t>
      </w:r>
    </w:p>
    <w:bookmarkEnd w:id="129"/>
    <w:bookmarkEnd w:id="130"/>
    <w:bookmarkStart w:id="136" w:name="ch:ontrack"/>
    <w:p>
      <w:pPr>
        <w:pStyle w:val="Heading1"/>
      </w:pPr>
      <w:r>
        <w:rPr>
          <w:rStyle w:val="SectionNumber"/>
        </w:rPr>
        <w:t xml:space="preserve">8</w:t>
      </w:r>
      <w:r>
        <w:tab/>
      </w:r>
      <w:r>
        <w:t xml:space="preserve">Application II: Who is on-track?</w:t>
      </w:r>
    </w:p>
    <w:p>
      <w:pPr>
        <w:pStyle w:val="BlockText"/>
      </w:pPr>
      <w:r>
        <w:t xml:space="preserve">Author: Iris Eekhout</w:t>
      </w:r>
    </w:p>
    <w:p>
      <w:pPr>
        <w:pStyle w:val="FirstParagraph"/>
      </w:pPr>
      <w:r>
        <w:t xml:space="preserve">Chapter</w:t>
      </w:r>
      <w:r>
        <w:t xml:space="preserve"> </w:t>
      </w:r>
      <w:r>
        <w:t xml:space="preserve">7</w:t>
      </w:r>
      <w:r>
        <w:t xml:space="preserve"> </w:t>
      </w:r>
      <w:r>
        <w:t xml:space="preserve">described a method to define and estimate off-track development. The current chapter highlights strategies to find factors that discriminate between children that are on-track and off-track. We order explanatory factors relative to their importance and discuss opportunities for interventions.</w:t>
      </w:r>
    </w:p>
    <w:p>
      <w:pPr>
        <w:numPr>
          <w:ilvl w:val="0"/>
          <w:numId w:val="1035"/>
        </w:numPr>
        <w:pStyle w:val="Compact"/>
      </w:pPr>
      <w:r>
        <w:t xml:space="preserve">What determines who is developmentally on-track (</w:t>
      </w:r>
      <w:r>
        <w:t xml:space="preserve">8.1</w:t>
      </w:r>
      <w:r>
        <w:t xml:space="preserve">)</w:t>
      </w:r>
    </w:p>
    <w:p>
      <w:pPr>
        <w:numPr>
          <w:ilvl w:val="0"/>
          <w:numId w:val="1035"/>
        </w:numPr>
        <w:pStyle w:val="Compact"/>
      </w:pPr>
      <w:r>
        <w:t xml:space="preserve">Factors that impact child development (</w:t>
      </w:r>
      <w:r>
        <w:t xml:space="preserve">8.2</w:t>
      </w:r>
      <w:r>
        <w:t xml:space="preserve">)</w:t>
      </w:r>
    </w:p>
    <w:bookmarkStart w:id="132" w:name="sec:application2"/>
    <w:p>
      <w:pPr>
        <w:pStyle w:val="Heading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follow the method of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334000" cy="5334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BodyText"/>
      </w:pPr>
      <w:r>
        <w:t xml:space="preserve">Assuming we place the cut-off value at -2 SD, we may subdivide the observations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BodyText"/>
      </w:pPr>
      <w:r>
        <w:t xml:space="preserve">Preventing observations in the red region requires us to form an idea about the factors that determine the off-track probability. The next section looks into this topic.</w:t>
      </w:r>
    </w:p>
    <w:bookmarkEnd w:id="132"/>
    <w:bookmarkStart w:id="135" w:name="sec:factors"/>
    <w:p>
      <w:pPr>
        <w:pStyle w:val="Heading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BodyText"/>
      </w:pPr>
      <w:r>
        <w:t xml:space="preserve">Table 8.1: Comparisons between on-track and off-track development</w:t>
      </w:r>
    </w:p>
    <w:p>
      <w:pPr>
        <w:pStyle w:val="BodyText"/>
      </w:pPr>
      <w:r>
        <w:t xml:space="preserve">On-track</w:t>
      </w:r>
    </w:p>
    <w:p>
      <w:pPr>
        <w:pStyle w:val="BodyText"/>
      </w:pPr>
      <w:r>
        <w:t xml:space="preserve">Off-track</w:t>
      </w:r>
    </w:p>
    <w:p>
      <w:pPr>
        <w:pStyle w:val="BodyText"/>
      </w:pPr>
      <w:r>
        <w:t xml:space="preserve">n</w:t>
      </w:r>
    </w:p>
    <w:p>
      <w:pPr>
        <w:pStyle w:val="BodyText"/>
      </w:pPr>
      <w:r>
        <w:t xml:space="preserve">%</w:t>
      </w:r>
    </w:p>
    <w:p>
      <w:pPr>
        <w:pStyle w:val="BodyText"/>
      </w:pPr>
      <w:r>
        <w:t xml:space="preserve">n</w:t>
      </w:r>
    </w:p>
    <w:p>
      <w:pPr>
        <w:pStyle w:val="BodyText"/>
      </w:pPr>
      <w:r>
        <w:t xml:space="preserve">%</w:t>
      </w:r>
    </w:p>
    <w:p>
      <w:pPr>
        <w:pStyle w:val="BodyText"/>
      </w:pPr>
      <w:r>
        <w:t xml:space="preserve">sex</w:t>
      </w:r>
    </w:p>
    <w:p>
      <w:pPr>
        <w:pStyle w:val="BodyText"/>
      </w:pPr>
      <w:r>
        <w:t xml:space="preserve">female</w:t>
      </w:r>
    </w:p>
    <w:p>
      <w:pPr>
        <w:pStyle w:val="BodyText"/>
      </w:pPr>
      <w:r>
        <w:t xml:space="preserve">21136</w:t>
      </w:r>
    </w:p>
    <w:p>
      <w:pPr>
        <w:pStyle w:val="BodyText"/>
      </w:pPr>
      <w:r>
        <w:t xml:space="preserve">0.977</w:t>
      </w:r>
    </w:p>
    <w:p>
      <w:pPr>
        <w:pStyle w:val="BodyText"/>
      </w:pPr>
      <w:r>
        <w:t xml:space="preserve">489</w:t>
      </w:r>
    </w:p>
    <w:p>
      <w:pPr>
        <w:pStyle w:val="BodyText"/>
      </w:pPr>
      <w:r>
        <w:t xml:space="preserve">0.023</w:t>
      </w:r>
    </w:p>
    <w:p>
      <w:pPr>
        <w:pStyle w:val="BodyText"/>
      </w:pPr>
      <w:r>
        <w:t xml:space="preserve">male</w:t>
      </w:r>
    </w:p>
    <w:p>
      <w:pPr>
        <w:pStyle w:val="BodyText"/>
      </w:pPr>
      <w:r>
        <w:t xml:space="preserve">20805</w:t>
      </w:r>
    </w:p>
    <w:p>
      <w:pPr>
        <w:pStyle w:val="BodyText"/>
      </w:pPr>
      <w:r>
        <w:t xml:space="preserve">0.972</w:t>
      </w:r>
    </w:p>
    <w:p>
      <w:pPr>
        <w:pStyle w:val="BodyText"/>
      </w:pPr>
      <w:r>
        <w:t xml:space="preserve">595</w:t>
      </w:r>
    </w:p>
    <w:p>
      <w:pPr>
        <w:pStyle w:val="BodyText"/>
      </w:pPr>
      <w:r>
        <w:t xml:space="preserve">0.028</w:t>
      </w:r>
    </w:p>
    <w:p>
      <w:pPr>
        <w:pStyle w:val="BodyText"/>
      </w:pPr>
      <w:r>
        <w:t xml:space="preserve">birth weight</w:t>
      </w:r>
    </w:p>
    <w:p>
      <w:pPr>
        <w:pStyle w:val="BodyText"/>
      </w:pPr>
      <w:r>
        <w:t xml:space="preserve">&lt;2500gr</w:t>
      </w:r>
    </w:p>
    <w:p>
      <w:pPr>
        <w:pStyle w:val="BodyText"/>
      </w:pPr>
      <w:r>
        <w:t xml:space="preserve">3388</w:t>
      </w:r>
    </w:p>
    <w:p>
      <w:pPr>
        <w:pStyle w:val="BodyText"/>
      </w:pPr>
      <w:r>
        <w:t xml:space="preserve">0.948</w:t>
      </w:r>
    </w:p>
    <w:p>
      <w:pPr>
        <w:pStyle w:val="BodyText"/>
      </w:pPr>
      <w:r>
        <w:t xml:space="preserve">185</w:t>
      </w:r>
    </w:p>
    <w:p>
      <w:pPr>
        <w:pStyle w:val="BodyText"/>
      </w:pPr>
      <w:r>
        <w:t xml:space="preserve">0.052</w:t>
      </w:r>
    </w:p>
    <w:p>
      <w:pPr>
        <w:pStyle w:val="BodyText"/>
      </w:pPr>
      <w:r>
        <w:t xml:space="preserve">&gt;2500gr</w:t>
      </w:r>
    </w:p>
    <w:p>
      <w:pPr>
        <w:pStyle w:val="BodyText"/>
      </w:pPr>
      <w:r>
        <w:t xml:space="preserve">36375</w:t>
      </w:r>
    </w:p>
    <w:p>
      <w:pPr>
        <w:pStyle w:val="BodyText"/>
      </w:pPr>
      <w:r>
        <w:t xml:space="preserve">0.978</w:t>
      </w:r>
    </w:p>
    <w:p>
      <w:pPr>
        <w:pStyle w:val="BodyText"/>
      </w:pPr>
      <w:r>
        <w:t xml:space="preserve">821</w:t>
      </w:r>
    </w:p>
    <w:p>
      <w:pPr>
        <w:pStyle w:val="BodyText"/>
      </w:pPr>
      <w:r>
        <w:t xml:space="preserve">0.022</w:t>
      </w:r>
    </w:p>
    <w:p>
      <w:pPr>
        <w:pStyle w:val="BodyText"/>
      </w:pPr>
      <w:r>
        <w:t xml:space="preserve">maternal education</w:t>
      </w:r>
    </w:p>
    <w:p>
      <w:pPr>
        <w:pStyle w:val="BodyText"/>
      </w:pPr>
      <w:r>
        <w:t xml:space="preserve">no education</w:t>
      </w:r>
    </w:p>
    <w:p>
      <w:pPr>
        <w:pStyle w:val="BodyText"/>
      </w:pPr>
      <w:r>
        <w:t xml:space="preserve">1907</w:t>
      </w:r>
    </w:p>
    <w:p>
      <w:pPr>
        <w:pStyle w:val="BodyText"/>
      </w:pPr>
      <w:r>
        <w:t xml:space="preserve">0.967</w:t>
      </w:r>
    </w:p>
    <w:p>
      <w:pPr>
        <w:pStyle w:val="BodyText"/>
      </w:pPr>
      <w:r>
        <w:t xml:space="preserve">66</w:t>
      </w:r>
    </w:p>
    <w:p>
      <w:pPr>
        <w:pStyle w:val="BodyText"/>
      </w:pPr>
      <w:r>
        <w:t xml:space="preserve">0.033</w:t>
      </w:r>
    </w:p>
    <w:p>
      <w:pPr>
        <w:pStyle w:val="BodyText"/>
      </w:pPr>
      <w:r>
        <w:t xml:space="preserve">any primary</w:t>
      </w:r>
    </w:p>
    <w:p>
      <w:pPr>
        <w:pStyle w:val="BodyText"/>
      </w:pPr>
      <w:r>
        <w:t xml:space="preserve">11764</w:t>
      </w:r>
    </w:p>
    <w:p>
      <w:pPr>
        <w:pStyle w:val="BodyText"/>
      </w:pPr>
      <w:r>
        <w:t xml:space="preserve">0.967</w:t>
      </w:r>
    </w:p>
    <w:p>
      <w:pPr>
        <w:pStyle w:val="BodyText"/>
      </w:pPr>
      <w:r>
        <w:t xml:space="preserve">398</w:t>
      </w:r>
    </w:p>
    <w:p>
      <w:pPr>
        <w:pStyle w:val="BodyText"/>
      </w:pPr>
      <w:r>
        <w:t xml:space="preserve">0.033</w:t>
      </w:r>
    </w:p>
    <w:p>
      <w:pPr>
        <w:pStyle w:val="BodyText"/>
      </w:pPr>
      <w:r>
        <w:t xml:space="preserve">any secondary</w:t>
      </w:r>
    </w:p>
    <w:p>
      <w:pPr>
        <w:pStyle w:val="BodyText"/>
      </w:pPr>
      <w:r>
        <w:t xml:space="preserve">21576</w:t>
      </w:r>
    </w:p>
    <w:p>
      <w:pPr>
        <w:pStyle w:val="BodyText"/>
      </w:pPr>
      <w:r>
        <w:t xml:space="preserve">0.977</w:t>
      </w:r>
    </w:p>
    <w:p>
      <w:pPr>
        <w:pStyle w:val="BodyText"/>
      </w:pPr>
      <w:r>
        <w:t xml:space="preserve">503</w:t>
      </w:r>
    </w:p>
    <w:p>
      <w:pPr>
        <w:pStyle w:val="BodyText"/>
      </w:pPr>
      <w:r>
        <w:t xml:space="preserve">0.023</w:t>
      </w:r>
    </w:p>
    <w:p>
      <w:pPr>
        <w:pStyle w:val="BodyText"/>
      </w:pPr>
      <w:r>
        <w:t xml:space="preserve">higher secondary</w:t>
      </w:r>
    </w:p>
    <w:p>
      <w:pPr>
        <w:pStyle w:val="BodyText"/>
      </w:pPr>
      <w:r>
        <w:t xml:space="preserve">6263</w:t>
      </w:r>
    </w:p>
    <w:p>
      <w:pPr>
        <w:pStyle w:val="BodyText"/>
      </w:pPr>
      <w:r>
        <w:t xml:space="preserve">0.984</w:t>
      </w:r>
    </w:p>
    <w:p>
      <w:pPr>
        <w:pStyle w:val="BodyText"/>
      </w:pPr>
      <w:r>
        <w:t xml:space="preserve">101</w:t>
      </w:r>
    </w:p>
    <w:p>
      <w:pPr>
        <w:pStyle w:val="BodyText"/>
      </w:pPr>
      <w:r>
        <w:t xml:space="preserve">0.016</w:t>
      </w:r>
    </w:p>
    <w:p>
      <w:pPr>
        <w:pStyle w:val="BodyText"/>
      </w:pPr>
      <w:r>
        <w:t xml:space="preserve">residence</w:t>
      </w:r>
    </w:p>
    <w:p>
      <w:pPr>
        <w:pStyle w:val="BodyText"/>
      </w:pPr>
      <w:r>
        <w:t xml:space="preserve">rural</w:t>
      </w:r>
    </w:p>
    <w:p>
      <w:pPr>
        <w:pStyle w:val="BodyText"/>
      </w:pPr>
      <w:r>
        <w:t xml:space="preserve">1251</w:t>
      </w:r>
    </w:p>
    <w:p>
      <w:pPr>
        <w:pStyle w:val="BodyText"/>
      </w:pPr>
      <w:r>
        <w:t xml:space="preserve">0.989</w:t>
      </w:r>
    </w:p>
    <w:p>
      <w:pPr>
        <w:pStyle w:val="BodyText"/>
      </w:pPr>
      <w:r>
        <w:t xml:space="preserve">14</w:t>
      </w:r>
    </w:p>
    <w:p>
      <w:pPr>
        <w:pStyle w:val="BodyText"/>
      </w:pPr>
      <w:r>
        <w:t xml:space="preserve">0.011</w:t>
      </w:r>
    </w:p>
    <w:p>
      <w:pPr>
        <w:pStyle w:val="BodyText"/>
      </w:pPr>
      <w:r>
        <w:t xml:space="preserve">semi-urban</w:t>
      </w:r>
    </w:p>
    <w:p>
      <w:pPr>
        <w:pStyle w:val="BodyText"/>
      </w:pPr>
      <w:r>
        <w:t xml:space="preserve">2236</w:t>
      </w:r>
    </w:p>
    <w:p>
      <w:pPr>
        <w:pStyle w:val="BodyText"/>
      </w:pPr>
      <w:r>
        <w:t xml:space="preserve">0.990</w:t>
      </w:r>
    </w:p>
    <w:p>
      <w:pPr>
        <w:pStyle w:val="BodyText"/>
      </w:pPr>
      <w:r>
        <w:t xml:space="preserve">23</w:t>
      </w:r>
    </w:p>
    <w:p>
      <w:pPr>
        <w:pStyle w:val="BodyText"/>
      </w:pPr>
      <w:r>
        <w:t xml:space="preserve">0.010</w:t>
      </w:r>
    </w:p>
    <w:p>
      <w:pPr>
        <w:pStyle w:val="BodyText"/>
      </w:pPr>
      <w:r>
        <w:t xml:space="preserve">urban</w:t>
      </w:r>
    </w:p>
    <w:p>
      <w:pPr>
        <w:pStyle w:val="BodyText"/>
      </w:pPr>
      <w:r>
        <w:t xml:space="preserve">18740</w:t>
      </w:r>
    </w:p>
    <w:p>
      <w:pPr>
        <w:pStyle w:val="BodyText"/>
      </w:pPr>
      <w:r>
        <w:t xml:space="preserve">0.971</w:t>
      </w:r>
    </w:p>
    <w:p>
      <w:pPr>
        <w:pStyle w:val="BodyText"/>
      </w:pPr>
      <w:r>
        <w:t xml:space="preserve">566</w:t>
      </w:r>
    </w:p>
    <w:p>
      <w:pPr>
        <w:pStyle w:val="BodyText"/>
      </w:pPr>
      <w:r>
        <w:t xml:space="preserve">0.029</w:t>
      </w:r>
    </w:p>
    <w:p>
      <w:pPr>
        <w:pStyle w:val="BodyText"/>
      </w:pPr>
      <w:r>
        <w:t xml:space="preserve">metropolitan</w:t>
      </w:r>
    </w:p>
    <w:p>
      <w:pPr>
        <w:pStyle w:val="BodyText"/>
      </w:pPr>
      <w:r>
        <w:t xml:space="preserve">11122</w:t>
      </w:r>
    </w:p>
    <w:p>
      <w:pPr>
        <w:pStyle w:val="BodyText"/>
      </w:pPr>
      <w:r>
        <w:t xml:space="preserve">0.979</w:t>
      </w:r>
    </w:p>
    <w:p>
      <w:pPr>
        <w:pStyle w:val="BodyText"/>
      </w:pPr>
      <w:r>
        <w:t xml:space="preserve">234</w:t>
      </w:r>
    </w:p>
    <w:p>
      <w:pPr>
        <w:pStyle w:val="BodyText"/>
      </w:pPr>
      <w:r>
        <w:t xml:space="preserve">0.021</w:t>
      </w:r>
    </w:p>
    <w:p>
      <w:pPr>
        <w:pStyle w:val="BodyText"/>
      </w:pPr>
      <w:r>
        <w:t xml:space="preserve">*</w:t>
      </w:r>
      <w:r>
        <w:t xml:space="preserve"> </w:t>
      </w:r>
      <w:r>
        <w:t xml:space="preserve">Exludes children with missing DAZ or missing factor</w:t>
      </w:r>
    </w:p>
    <w:p>
      <w:pPr>
        <w:pStyle w:val="BodyText"/>
      </w:pPr>
      <w:r>
        <w:t xml:space="preserve"> </w:t>
      </w:r>
    </w:p>
    <w:p>
      <w:pPr>
        <w:pStyle w:val="BodyTex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33">
        <w:r>
          <w:rPr>
            <w:rStyle w:val="Hyperlink"/>
          </w:rPr>
          <w:t xml:space="preserve">elsewhere</w:t>
        </w:r>
      </w:hyperlink>
      <w:r>
        <w:t xml:space="preserve">.</w:t>
      </w:r>
    </w:p>
    <w:p>
      <w:pPr>
        <w:pStyle w:val="BodyText"/>
      </w:pPr>
      <w:r>
        <w:t xml:space="preserve">The influence of maternal education on off-track development follows the expected trend. Interestingly, it seems that a rural environment could prevent off-track development. We note that original measures of maternal education and residence had to harmonise across studies. It would, therefore, also be interesting to study the impact per cohort using the actual factor coding.</w:t>
      </w:r>
    </w:p>
    <w:p>
      <w:pPr>
        <w:pStyle w:val="CaptionedFigure"/>
      </w:pPr>
      <w:r>
        <w:drawing>
          <wp:inline>
            <wp:extent cx="5334000" cy="3810000"/>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3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BodyText"/>
      </w:pPr>
      <w:r>
        <w:t xml:space="preserve">We predicted DAZ by linear regressions with predictors country, sex, birth weight, maternal education, height for age and residential area. The percentage of explained variance was 11 per 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BodyTex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bookmarkEnd w:id="135"/>
    <w:bookmarkEnd w:id="136"/>
    <w:bookmarkStart w:id="141" w:name="ch:discussion2"/>
    <w:p>
      <w:pPr>
        <w:pStyle w:val="Heading1"/>
      </w:pPr>
      <w:r>
        <w:rPr>
          <w:rStyle w:val="SectionNumber"/>
        </w:rPr>
        <w:t xml:space="preserve">9</w:t>
      </w:r>
      <w:r>
        <w:tab/>
      </w:r>
      <w:r>
        <w:t xml:space="preserve">Discussion</w:t>
      </w:r>
    </w:p>
    <w:p>
      <w:pPr>
        <w:pStyle w:val="BlockText"/>
      </w:pPr>
      <w:r>
        <w:t xml:space="preserve">Author: Iris Eekhout</w:t>
      </w:r>
    </w:p>
    <w:bookmarkStart w:id="137" w:name="X472fd171c2bc8b08455cde0ce92df8d9db95247"/>
    <w:p>
      <w:pPr>
        <w:pStyle w:val="Heading2"/>
      </w:pPr>
      <w:r>
        <w:rPr>
          <w:rStyle w:val="SectionNumber"/>
        </w:rPr>
        <w:t xml:space="preserve">9.1</w:t>
      </w:r>
      <w:r>
        <w:tab/>
      </w:r>
      <w:r>
        <w:t xml:space="preserve">Potential and limitations of existing data for SDG 4.2.1</w:t>
      </w:r>
    </w:p>
    <w:p>
      <w:pPr>
        <w:pStyle w:val="FirstParagraph"/>
      </w:pPr>
      <w:r>
        <w:t xml:space="preserve">The D-score is a measure that fits perfectly to the current need of comparable global figures for child development status. A measure for early child development that can be interpreted everywhere can either be achieved by having one instrument that is used globally, or by enabling the calculation of a score on a scale that can be obtained from many different instruments. The D-score is the latter, and since the first option would be desirable but at this moment unfeasible, the D-score can in relatively short time give insight in global differences in early child development. As such, the D-score can be used for SDG 4.2.1. However, there are still some limitations, that in time, can be diminished. First, not all instruments that measure early child development are currently included in the D-score key. We are working on expanding the key and additional instruments are added (refer to GSED). Second, the references that can currently be obtained from the D-score that may be used to calculate indices for early child development, are based on the data from different kinds of studies. Since these are not all population studies and some were targeted at specific groups of children, generalization of the scores is not always perfect. So, including more population representative data will improve generalization of the D-score as a global score.</w:t>
      </w:r>
    </w:p>
    <w:p>
      <w:pPr>
        <w:pStyle w:val="BodyText"/>
      </w:pPr>
      <w:r>
        <w:t xml:space="preserve">Will the addition of new data change the D-score model and metric? It may be possible that the key changes, but we expect that changes are minor. The model that is used now, fits the data well and is developed with great care.</w:t>
      </w:r>
    </w:p>
    <w:bookmarkEnd w:id="137"/>
    <w:bookmarkStart w:id="138" w:name="options-for-improving-health-policy"/>
    <w:p>
      <w:pPr>
        <w:pStyle w:val="Heading2"/>
      </w:pPr>
      <w:r>
        <w:rPr>
          <w:rStyle w:val="SectionNumber"/>
        </w:rPr>
        <w:t xml:space="preserve">9.2</w:t>
      </w:r>
      <w:r>
        <w:tab/>
      </w:r>
      <w:r>
        <w:t xml:space="preserve">Options for improving health policy</w:t>
      </w:r>
    </w:p>
    <w:bookmarkEnd w:id="138"/>
    <w:bookmarkStart w:id="139" w:name="suitability-of-d-score-metric"/>
    <w:p>
      <w:pPr>
        <w:pStyle w:val="Heading2"/>
      </w:pPr>
      <w:r>
        <w:rPr>
          <w:rStyle w:val="SectionNumber"/>
        </w:rPr>
        <w:t xml:space="preserve">9.3</w:t>
      </w:r>
      <w:r>
        <w:tab/>
      </w:r>
      <w:r>
        <w:t xml:space="preserve">Suitability of D-score metric</w:t>
      </w:r>
    </w:p>
    <w:p>
      <w:pPr>
        <w:pStyle w:val="FirstParagraph"/>
      </w:pPr>
      <w:r>
        <w:t xml:space="preserve">The D-score metric represents child development very well. Items from the most widely used instruments (such as Bayley, ASQ, Denver, etc) are included. Also, the child development domains are well represented over the entire scale. However, the D-score may not be well suited to screen for domain specific problems. For that purpose, other metrics may be used or developed that are specifically targeted to detect domain specific problems.</w:t>
      </w:r>
    </w:p>
    <w:bookmarkEnd w:id="139"/>
    <w:bookmarkStart w:id="140" w:name="suggestions-for-better-measurement"/>
    <w:p>
      <w:pPr>
        <w:pStyle w:val="Heading2"/>
      </w:pPr>
      <w:r>
        <w:rPr>
          <w:rStyle w:val="SectionNumber"/>
        </w:rPr>
        <w:t xml:space="preserve">9.4</w:t>
      </w:r>
      <w:r>
        <w:tab/>
      </w:r>
      <w:r>
        <w:t xml:space="preserve">Suggestions for better measurement</w:t>
      </w:r>
    </w:p>
    <w:p>
      <w:pPr>
        <w:pStyle w:val="FirstParagraph"/>
      </w:pPr>
      <w:r>
        <w:t xml:space="preserve">The D-score can be measured well by the instruments that are included in the current model, provided that the items that are included are corresponding to the targeted age group. In Table … an overview of the items included for each instrument per age is presented.</w:t>
      </w:r>
    </w:p>
    <w:p>
      <w:pPr>
        <w:pStyle w:val="BodyText"/>
      </w:pPr>
      <w:r>
        <w:t xml:space="preserve">The D-score model enables the possibility to create new instruments that can be customized to the exact needs of the study. Population based studies may require a quick measure by less items and are targeted to a well measured population estimate for development. Whereas intervention studies need a precise estimate for the intervention and control group. At the personal level, studying one child’s development, a more precise estimation may be required. Of each of these scenarios, different instruments can be created. In our third booklet, we will discuss all of these options, and more.</w:t>
      </w:r>
    </w:p>
    <w:bookmarkEnd w:id="140"/>
    <w:bookmarkEnd w:id="141"/>
    <w:bookmarkStart w:id="207" w:name="references"/>
    <w:p>
      <w:pPr>
        <w:pStyle w:val="Heading1"/>
      </w:pPr>
      <w:r>
        <w:t xml:space="preserve">References</w:t>
      </w:r>
    </w:p>
    <w:bookmarkStart w:id="206" w:name="refs"/>
    <w:bookmarkStart w:id="143" w:name="ref-Attanasio2014"/>
    <w:p>
      <w:pPr>
        <w:pStyle w:val="Bibliography"/>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42">
        <w:r>
          <w:rPr>
            <w:rStyle w:val="Hyperlink"/>
          </w:rPr>
          <w:t xml:space="preserve">https://doi.org/10.1136/bmj.g5785</w:t>
        </w:r>
      </w:hyperlink>
      <w:r>
        <w:t xml:space="preserve">.</w:t>
      </w:r>
    </w:p>
    <w:bookmarkEnd w:id="143"/>
    <w:bookmarkStart w:id="144" w:name="ref-barrera1981"/>
    <w:p>
      <w:pPr>
        <w:pStyle w:val="Bibliography"/>
      </w:pPr>
      <w:r>
        <w:t xml:space="preserve">Barrera Moncada, G. 1981.</w:t>
      </w:r>
      <w:r>
        <w:t xml:space="preserve"> </w:t>
      </w:r>
      <w:r>
        <w:t xml:space="preserve">“Crecimiento y Desarrollo Psicológico Del Niño Venezolano.”</w:t>
      </w:r>
    </w:p>
    <w:bookmarkEnd w:id="144"/>
    <w:bookmarkStart w:id="145" w:name="ref-bayley1969"/>
    <w:p>
      <w:pPr>
        <w:pStyle w:val="Bibliography"/>
      </w:pPr>
      <w:r>
        <w:t xml:space="preserve">Bayley, N. 1969.</w:t>
      </w:r>
      <w:r>
        <w:t xml:space="preserve"> </w:t>
      </w:r>
      <w:r>
        <w:t xml:space="preserve">“Bayley Scales of Infant Development.”</w:t>
      </w:r>
    </w:p>
    <w:bookmarkEnd w:id="145"/>
    <w:bookmarkStart w:id="146" w:name="ref-bayley1993"/>
    <w:p>
      <w:pPr>
        <w:pStyle w:val="Bibliography"/>
      </w:pPr>
      <w:r>
        <w:t xml:space="preserve">———. 1993.</w:t>
      </w:r>
      <w:r>
        <w:t xml:space="preserve"> </w:t>
      </w:r>
      <w:r>
        <w:t xml:space="preserve">“The Bayley Scales of Infant Development-II.”</w:t>
      </w:r>
    </w:p>
    <w:bookmarkEnd w:id="146"/>
    <w:bookmarkStart w:id="147" w:name="ref-bayley2006"/>
    <w:p>
      <w:pPr>
        <w:pStyle w:val="Bibliography"/>
      </w:pPr>
      <w:r>
        <w:t xml:space="preserve">———. 2006.</w:t>
      </w:r>
      <w:r>
        <w:t xml:space="preserve"> </w:t>
      </w:r>
      <w:r>
        <w:t xml:space="preserve">“Bayley Scales of Infant and Toddler Development–Third Edition: Technical Manual.”</w:t>
      </w:r>
    </w:p>
    <w:bookmarkEnd w:id="147"/>
    <w:bookmarkStart w:id="148"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48"/>
    <w:bookmarkStart w:id="149"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49"/>
    <w:bookmarkStart w:id="150" w:name="ref-black2017"/>
    <w:p>
      <w:pPr>
        <w:pStyle w:val="Bibliography"/>
      </w:pPr>
      <w:r>
        <w:t xml:space="preserve">———,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50"/>
    <w:bookmarkStart w:id="152" w:name="ref-borghi2006"/>
    <w:p>
      <w:pPr>
        <w:pStyle w:val="Bibliography"/>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51">
        <w:r>
          <w:rPr>
            <w:rStyle w:val="Hyperlink"/>
          </w:rPr>
          <w:t xml:space="preserve">https://doi.org/10.1002/sim.2227</w:t>
        </w:r>
      </w:hyperlink>
      <w:r>
        <w:t xml:space="preserve">.</w:t>
      </w:r>
    </w:p>
    <w:bookmarkEnd w:id="152"/>
    <w:bookmarkStart w:id="153"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53"/>
    <w:bookmarkStart w:id="154"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154"/>
    <w:bookmarkStart w:id="155" w:name="ref-conteras2015"/>
    <w:p>
      <w:pPr>
        <w:pStyle w:val="Bibliography"/>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55"/>
    <w:bookmarkStart w:id="156" w:name="ref-doll1953"/>
    <w:p>
      <w:pPr>
        <w:pStyle w:val="Bibliography"/>
      </w:pPr>
      <w:r>
        <w:t xml:space="preserve">Doll, E. A. 1953.</w:t>
      </w:r>
      <w:r>
        <w:t xml:space="preserve"> </w:t>
      </w:r>
      <w:r>
        <w:t xml:space="preserve">“The Measurement of Social Competence: A Manual for the Vineland Social Maturity Scale.”</w:t>
      </w:r>
    </w:p>
    <w:bookmarkEnd w:id="156"/>
    <w:bookmarkStart w:id="157" w:name="ref-doove2010"/>
    <w:p>
      <w:pPr>
        <w:pStyle w:val="Bibliography"/>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57"/>
    <w:bookmarkStart w:id="158"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158"/>
    <w:bookmarkStart w:id="160" w:name="ref-Fernald2011"/>
    <w:p>
      <w:pPr>
        <w:pStyle w:val="Bibliography"/>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59">
        <w:r>
          <w:rPr>
            <w:rStyle w:val="Hyperlink"/>
          </w:rPr>
          <w:t xml:space="preserve">https://doi.org/10.1111/j.1467-7687.2010.01032.x</w:t>
        </w:r>
      </w:hyperlink>
      <w:r>
        <w:t xml:space="preserve">.</w:t>
      </w:r>
    </w:p>
    <w:bookmarkEnd w:id="160"/>
    <w:bookmarkStart w:id="161" w:name="ref-frankenburg1992"/>
    <w:p>
      <w:pPr>
        <w:pStyle w:val="Bibliography"/>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61"/>
    <w:bookmarkStart w:id="162" w:name="ref-frankenburg1990"/>
    <w:p>
      <w:pPr>
        <w:pStyle w:val="Bibliography"/>
      </w:pPr>
      <w:r>
        <w:t xml:space="preserve">Frankenburg, W. K., J. Dodds, P. Archer, H. Shapiro, and B. Bresnick. 1990.</w:t>
      </w:r>
      <w:r>
        <w:t xml:space="preserve"> </w:t>
      </w:r>
      <w:r>
        <w:t xml:space="preserve">“The DENVER II Technical Manual.”</w:t>
      </w:r>
    </w:p>
    <w:bookmarkEnd w:id="162"/>
    <w:bookmarkStart w:id="163"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163"/>
    <w:bookmarkStart w:id="165" w:name="ref-Grantham-McGregor1991"/>
    <w:p>
      <w:pPr>
        <w:pStyle w:val="Bibliography"/>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64">
        <w:r>
          <w:rPr>
            <w:rStyle w:val="Hyperlink"/>
          </w:rPr>
          <w:t xml:space="preserve">https://doi.org/10.1016/0140-6736(91)90001-6</w:t>
        </w:r>
      </w:hyperlink>
      <w:r>
        <w:t xml:space="preserve">.</w:t>
      </w:r>
    </w:p>
    <w:bookmarkEnd w:id="165"/>
    <w:bookmarkStart w:id="166" w:name="ref-griffiths1967"/>
    <w:p>
      <w:pPr>
        <w:pStyle w:val="Bibliography"/>
      </w:pPr>
      <w:r>
        <w:t xml:space="preserve">Griffiths, R. 1967.</w:t>
      </w:r>
      <w:r>
        <w:t xml:space="preserve"> </w:t>
      </w:r>
      <w:r>
        <w:t xml:space="preserve">“The Abilities of Babies: A Study in Mental Measurement.”</w:t>
      </w:r>
    </w:p>
    <w:bookmarkEnd w:id="166"/>
    <w:bookmarkStart w:id="167" w:name="ref-haeussler1999"/>
    <w:p>
      <w:pPr>
        <w:pStyle w:val="Bibliography"/>
      </w:pPr>
      <w:r>
        <w:t xml:space="preserve">Haeussler, I. M., and T. Marchant. 1999.</w:t>
      </w:r>
      <w:r>
        <w:t xml:space="preserve"> </w:t>
      </w:r>
      <w:r>
        <w:t xml:space="preserve">“Tepsi: Test de Desarrollo Psicomotor 2-5 años.”</w:t>
      </w:r>
    </w:p>
    <w:bookmarkEnd w:id="167"/>
    <w:bookmarkStart w:id="168" w:name="ref-hagen1986"/>
    <w:p>
      <w:pPr>
        <w:pStyle w:val="Bibliography"/>
      </w:pPr>
      <w:r>
        <w:t xml:space="preserve">Hagen, E., and J. Stattler. 1986.</w:t>
      </w:r>
      <w:r>
        <w:t xml:space="preserve"> </w:t>
      </w:r>
      <w:r>
        <w:t xml:space="preserve">“Stanford–Binet Intelligence Scales, Fourth Edition.”</w:t>
      </w:r>
    </w:p>
    <w:bookmarkEnd w:id="168"/>
    <w:bookmarkStart w:id="170" w:name="ref-Hanlon2009"/>
    <w:p>
      <w:pPr>
        <w:pStyle w:val="Bibliography"/>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69">
        <w:r>
          <w:rPr>
            <w:rStyle w:val="Hyperlink"/>
          </w:rPr>
          <w:t xml:space="preserve">https://doi.org/10.1111/j.1365-3156.2008.02198.x</w:t>
        </w:r>
      </w:hyperlink>
      <w:r>
        <w:t xml:space="preserve">.</w:t>
      </w:r>
    </w:p>
    <w:bookmarkEnd w:id="170"/>
    <w:bookmarkStart w:id="171" w:name="ref-herngreen1992"/>
    <w:p>
      <w:pPr>
        <w:pStyle w:val="Bibliography"/>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71"/>
    <w:bookmarkStart w:id="173"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72">
        <w:r>
          <w:rPr>
            <w:rStyle w:val="Hyperlink"/>
          </w:rPr>
          <w:t xml:space="preserve">https://stefvanbuuren.name/publication/2006-01-01_jacobusse2006/</w:t>
        </w:r>
      </w:hyperlink>
      <w:r>
        <w:t xml:space="preserve">.</w:t>
      </w:r>
    </w:p>
    <w:bookmarkEnd w:id="173"/>
    <w:bookmarkStart w:id="174" w:name="ref-kim1998"/>
    <w:p>
      <w:pPr>
        <w:pStyle w:val="Bibliography"/>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74"/>
    <w:bookmarkStart w:id="175" w:name="ref-loizillon2017"/>
    <w:p>
      <w:pPr>
        <w:pStyle w:val="Bibliography"/>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75"/>
    <w:bookmarkStart w:id="177" w:name="ref-Lozoff2003"/>
    <w:p>
      <w:pPr>
        <w:pStyle w:val="Bibliography"/>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76">
        <w:r>
          <w:rPr>
            <w:rStyle w:val="Hyperlink"/>
          </w:rPr>
          <w:t xml:space="preserve">http://www.ncbi.nlm.nih.gov/pubmed/14523176</w:t>
        </w:r>
      </w:hyperlink>
      <w:r>
        <w:t xml:space="preserve">.</w:t>
      </w:r>
    </w:p>
    <w:bookmarkEnd w:id="177"/>
    <w:bookmarkStart w:id="179" w:name="ref-Lozoff2016"/>
    <w:p>
      <w:pPr>
        <w:pStyle w:val="Bibliography"/>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78">
        <w:r>
          <w:rPr>
            <w:rStyle w:val="Hyperlink"/>
          </w:rPr>
          <w:t xml:space="preserve">https://doi.org/10.3945/jn.115.223917</w:t>
        </w:r>
      </w:hyperlink>
      <w:r>
        <w:t xml:space="preserve">.</w:t>
      </w:r>
    </w:p>
    <w:bookmarkEnd w:id="179"/>
    <w:bookmarkStart w:id="180"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180"/>
    <w:bookmarkStart w:id="182" w:name="ref-Moura2010"/>
    <w:p>
      <w:pPr>
        <w:pStyle w:val="Bibliography"/>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81">
        <w:r>
          <w:rPr>
            <w:rStyle w:val="Hyperlink"/>
          </w:rPr>
          <w:t xml:space="preserve">https://doi.org/10.1111/j.1440-1754.2010.01717.x</w:t>
        </w:r>
      </w:hyperlink>
      <w:r>
        <w:t xml:space="preserve">.</w:t>
      </w:r>
    </w:p>
    <w:bookmarkEnd w:id="182"/>
    <w:bookmarkStart w:id="183" w:name="ref-newborg2005"/>
    <w:p>
      <w:pPr>
        <w:pStyle w:val="Bibliography"/>
      </w:pPr>
      <w:r>
        <w:t xml:space="preserve">Newborg, J. 2005.</w:t>
      </w:r>
      <w:r>
        <w:t xml:space="preserve"> </w:t>
      </w:r>
      <w:r>
        <w:t xml:space="preserve">“Battelle Developmental Inventory-2nd Edition.”</w:t>
      </w:r>
    </w:p>
    <w:bookmarkEnd w:id="183"/>
    <w:bookmarkStart w:id="185" w:name="ref-Paxson2010"/>
    <w:p>
      <w:pPr>
        <w:pStyle w:val="Bibliography"/>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84">
        <w:r>
          <w:rPr>
            <w:rStyle w:val="Hyperlink"/>
          </w:rPr>
          <w:t xml:space="preserve">http://www.ncbi.nlm.nih.gov/pubmed/20821896</w:t>
        </w:r>
      </w:hyperlink>
      <w:r>
        <w:t xml:space="preserve">.</w:t>
      </w:r>
    </w:p>
    <w:bookmarkEnd w:id="185"/>
    <w:bookmarkStart w:id="187" w:name="ref-Richter2007"/>
    <w:p>
      <w:pPr>
        <w:pStyle w:val="Bibliography"/>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86">
        <w:r>
          <w:rPr>
            <w:rStyle w:val="Hyperlink"/>
          </w:rPr>
          <w:t xml:space="preserve">https://doi.org/10.1093/ije/dym016</w:t>
        </w:r>
      </w:hyperlink>
      <w:r>
        <w:t xml:space="preserve">.</w:t>
      </w:r>
    </w:p>
    <w:bookmarkEnd w:id="187"/>
    <w:bookmarkStart w:id="188" w:name="ref-roid2003"/>
    <w:p>
      <w:pPr>
        <w:pStyle w:val="Bibliography"/>
      </w:pPr>
      <w:r>
        <w:t xml:space="preserve">Roid, G. H. 2003.</w:t>
      </w:r>
      <w:r>
        <w:t xml:space="preserve"> </w:t>
      </w:r>
      <w:r>
        <w:t xml:space="preserve">“Stanford–Binet Intelligence Scales, Fifth Edition.”</w:t>
      </w:r>
    </w:p>
    <w:bookmarkEnd w:id="188"/>
    <w:bookmarkStart w:id="190" w:name="ref-Rubio-Codina2016"/>
    <w:p>
      <w:pPr>
        <w:pStyle w:val="Bibliography"/>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89">
        <w:r>
          <w:rPr>
            <w:rStyle w:val="Hyperlink"/>
          </w:rPr>
          <w:t xml:space="preserve">https://doi.org/10.1371/journal.pone.0160962</w:t>
        </w:r>
      </w:hyperlink>
      <w:r>
        <w:t xml:space="preserve">.</w:t>
      </w:r>
    </w:p>
    <w:bookmarkEnd w:id="190"/>
    <w:bookmarkStart w:id="191" w:name="ref-schlesinger1981"/>
    <w:p>
      <w:pPr>
        <w:pStyle w:val="Bibliography"/>
      </w:pPr>
      <w:r>
        <w:t xml:space="preserve">Schlesinger-Was, E. A. 1981.</w:t>
      </w:r>
      <w:r>
        <w:t xml:space="preserve"> </w:t>
      </w:r>
      <w:r>
        <w:t xml:space="preserve">“Ontwikkelingsonderzoek van Zuigelingen En Kleuters Op Het Consultatiebureau.”</w:t>
      </w:r>
    </w:p>
    <w:bookmarkEnd w:id="191"/>
    <w:bookmarkStart w:id="192" w:name="ref-shirley1933"/>
    <w:p>
      <w:pPr>
        <w:pStyle w:val="Bibliography"/>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92"/>
    <w:bookmarkStart w:id="193" w:name="ref-squires2009"/>
    <w:p>
      <w:pPr>
        <w:pStyle w:val="Bibliography"/>
      </w:pPr>
      <w:r>
        <w:t xml:space="preserve">Squires, J., and D. Bricker. 2009.</w:t>
      </w:r>
      <w:r>
        <w:t xml:space="preserve"> </w:t>
      </w:r>
      <w:r>
        <w:t xml:space="preserve">“Ages &amp; Stages Questionnaires, Third Edition (ASQ- 3). A Parent-Completed Child-Monitoring System.”</w:t>
      </w:r>
    </w:p>
    <w:bookmarkEnd w:id="193"/>
    <w:bookmarkStart w:id="195" w:name="ref-Tofail2008"/>
    <w:p>
      <w:pPr>
        <w:pStyle w:val="Bibliography"/>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194">
        <w:r>
          <w:rPr>
            <w:rStyle w:val="Hyperlink"/>
          </w:rPr>
          <w:t xml:space="preserve">https://doi.org/10.1093/ajcn/87.3.704</w:t>
        </w:r>
      </w:hyperlink>
      <w:r>
        <w:t xml:space="preserve">.</w:t>
      </w:r>
    </w:p>
    <w:bookmarkEnd w:id="195"/>
    <w:bookmarkStart w:id="196"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196"/>
    <w:bookmarkStart w:id="198"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197">
        <w:r>
          <w:rPr>
            <w:rStyle w:val="Hyperlink"/>
          </w:rPr>
          <w:t xml:space="preserve">https://stefvanbuuren.name/publication/2014-01-01_vanbuuren2014gc/</w:t>
        </w:r>
      </w:hyperlink>
      <w:r>
        <w:t xml:space="preserve">.</w:t>
      </w:r>
    </w:p>
    <w:bookmarkEnd w:id="198"/>
    <w:bookmarkStart w:id="200" w:name="ref-Victora2006"/>
    <w:p>
      <w:pPr>
        <w:pStyle w:val="Bibliography"/>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199">
        <w:r>
          <w:rPr>
            <w:rStyle w:val="Hyperlink"/>
          </w:rPr>
          <w:t xml:space="preserve">https://doi.org/10.1590/s0034-89102006000100008</w:t>
        </w:r>
      </w:hyperlink>
      <w:r>
        <w:t xml:space="preserve">.</w:t>
      </w:r>
    </w:p>
    <w:bookmarkEnd w:id="200"/>
    <w:bookmarkStart w:id="202" w:name="ref-Walker2004"/>
    <w:p>
      <w:pPr>
        <w:pStyle w:val="Bibliography"/>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01">
        <w:r>
          <w:rPr>
            <w:rStyle w:val="Hyperlink"/>
          </w:rPr>
          <w:t xml:space="preserve">https://doi.org/10.1093/jn/134.6.1417</w:t>
        </w:r>
      </w:hyperlink>
      <w:r>
        <w:t xml:space="preserve">.</w:t>
      </w:r>
    </w:p>
    <w:bookmarkEnd w:id="202"/>
    <w:bookmarkStart w:id="204"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03">
        <w:r>
          <w:rPr>
            <w:rStyle w:val="Hyperlink"/>
          </w:rPr>
          <w:t xml:space="preserve">https://doi.org/10.1136/bmjgh-2019-001724</w:t>
        </w:r>
      </w:hyperlink>
      <w:r>
        <w:t xml:space="preserve">.</w:t>
      </w:r>
    </w:p>
    <w:bookmarkEnd w:id="204"/>
    <w:bookmarkStart w:id="20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05"/>
    <w:bookmarkEnd w:id="206"/>
    <w:bookmarkEnd w:id="2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109" Target="media/rId109.png" /><Relationship Type="http://schemas.openxmlformats.org/officeDocument/2006/relationships/image" Id="rId56" Target="media/rId56.png" /><Relationship Type="http://schemas.openxmlformats.org/officeDocument/2006/relationships/image" Id="rId36" Target="media/rId36.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34" Target="media/rId134.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31" Target="media/rId131.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100" Target="media/rId100.png" /><Relationship Type="http://schemas.openxmlformats.org/officeDocument/2006/relationships/image" Id="rId107" Target="media/rId107.png" /><Relationship Type="http://schemas.openxmlformats.org/officeDocument/2006/relationships/image" Id="rId123" Target="media/rId123.png" /><Relationship Type="http://schemas.openxmlformats.org/officeDocument/2006/relationships/image" Id="rId51" Target="media/rId51.jpg" /><Relationship Type="http://schemas.openxmlformats.org/officeDocument/2006/relationships/image" Id="rId42" Target="media/rId42.png" /><Relationship Type="http://schemas.openxmlformats.org/officeDocument/2006/relationships/hyperlink" Id="rId176" Target="http://www.ncbi.nlm.nih.gov/pubmed/14523176" TargetMode="External" /><Relationship Type="http://schemas.openxmlformats.org/officeDocument/2006/relationships/hyperlink" Id="rId184" Target="http://www.ncbi.nlm.nih.gov/pubmed/20821896" TargetMode="External" /><Relationship Type="http://schemas.openxmlformats.org/officeDocument/2006/relationships/hyperlink" Id="rId101" Target="https://d-score.org/dbook-apps/gcdgdscores/#display=by_cohort&amp;nrow=1&amp;ncol=1&amp;arr=row&amp;pg=6&amp;labels=cohort&amp;sort=cohort;asc&amp;filter=&amp;sidebar=&amp;fv=" TargetMode="External" /><Relationship Type="http://schemas.openxmlformats.org/officeDocument/2006/relationships/hyperlink" Id="rId108" Target="https://d-score.org/dbook-apps/gcdgsem/#display=by_cohort&amp;nrow=1&amp;ncol=1&amp;arr=row&amp;pg=6&amp;labels=cohort&amp;sort=cohort;asc&amp;filter=&amp;sidebar=&amp;fv=" TargetMode="External" /><Relationship Type="http://schemas.openxmlformats.org/officeDocument/2006/relationships/hyperlink" Id="rId78" Target="https://d-score.org/dbook-apps/models1339/#display=by_model_cohort&amp;nrow=2&amp;ncol=2&amp;arr=row&amp;pg=7&amp;labels=cohort,model&amp;sort=cohort;asc,model;asc&amp;filter=&amp;sidebar=&amp;fv=" TargetMode="External" /><Relationship Type="http://schemas.openxmlformats.org/officeDocument/2006/relationships/hyperlink" Id="rId82"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6"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8" Target="https://d-score.org/dbook1/ch-evaluation.html" TargetMode="External" /><Relationship Type="http://schemas.openxmlformats.org/officeDocument/2006/relationships/hyperlink" Id="rId53" Target="https://d-score.org/dbook1/ch-newmodel.html" TargetMode="External" /><Relationship Type="http://schemas.openxmlformats.org/officeDocument/2006/relationships/hyperlink" Id="rId83" Target="https://d-score.org/dbook1/sec-agebased.html#sec:ageequivalent" TargetMode="External" /><Relationship Type="http://schemas.openxmlformats.org/officeDocument/2006/relationships/hyperlink" Id="rId65" Target="https://d-score.org/dbook1/sec-dif.html" TargetMode="External" /><Relationship Type="http://schemas.openxmlformats.org/officeDocument/2006/relationships/hyperlink" Id="rId104" Target="https://d-score.org/dbook1/sec-dscoreestimation.html#eap-algorithm-numerical-example" TargetMode="External" /><Relationship Type="http://schemas.openxmlformats.org/officeDocument/2006/relationships/hyperlink" Id="rId89" Target="https://d-score.org/dbook1/sec-itemfit.html" TargetMode="External" /><Relationship Type="http://schemas.openxmlformats.org/officeDocument/2006/relationships/hyperlink" Id="rId54" Target="https://d-score.org/dbook1/sec-itemresponsefunctions.html#logistic-model" TargetMode="External" /><Relationship Type="http://schemas.openxmlformats.org/officeDocument/2006/relationships/hyperlink" Id="rId133" Target="https://d-score.org/dbook1/sec-pops.html" TargetMode="External" /><Relationship Type="http://schemas.openxmlformats.org/officeDocument/2006/relationships/hyperlink" Id="rId102" Target="https://d-score.org/dbook1/sec-reference.html" TargetMode="External" /><Relationship Type="http://schemas.openxmlformats.org/officeDocument/2006/relationships/hyperlink" Id="rId79"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1" Target="https://doi.org/10.1002/sim.2227" TargetMode="External" /><Relationship Type="http://schemas.openxmlformats.org/officeDocument/2006/relationships/hyperlink" Id="rId164" Target="https://doi.org/10.1016/0140-6736(91)90001-6" TargetMode="External" /><Relationship Type="http://schemas.openxmlformats.org/officeDocument/2006/relationships/hyperlink" Id="rId194" Target="https://doi.org/10.1093/ajcn/87.3.704" TargetMode="External" /><Relationship Type="http://schemas.openxmlformats.org/officeDocument/2006/relationships/hyperlink" Id="rId186" Target="https://doi.org/10.1093/ije/dym016" TargetMode="External" /><Relationship Type="http://schemas.openxmlformats.org/officeDocument/2006/relationships/hyperlink" Id="rId201" Target="https://doi.org/10.1093/jn/134.6.1417" TargetMode="External" /><Relationship Type="http://schemas.openxmlformats.org/officeDocument/2006/relationships/hyperlink" Id="rId169" Target="https://doi.org/10.1111/j.1365-3156.2008.02198.x" TargetMode="External" /><Relationship Type="http://schemas.openxmlformats.org/officeDocument/2006/relationships/hyperlink" Id="rId181" Target="https://doi.org/10.1111/j.1440-1754.2010.01717.x" TargetMode="External" /><Relationship Type="http://schemas.openxmlformats.org/officeDocument/2006/relationships/hyperlink" Id="rId159" Target="https://doi.org/10.1111/j.1467-7687.2010.01032.x" TargetMode="External" /><Relationship Type="http://schemas.openxmlformats.org/officeDocument/2006/relationships/hyperlink" Id="rId142" Target="https://doi.org/10.1136/bmj.g5785" TargetMode="External" /><Relationship Type="http://schemas.openxmlformats.org/officeDocument/2006/relationships/hyperlink" Id="rId203" Target="https://doi.org/10.1136/bmjgh-2019-001724" TargetMode="External" /><Relationship Type="http://schemas.openxmlformats.org/officeDocument/2006/relationships/hyperlink" Id="rId189" Target="https://doi.org/10.1371/journal.pone.0160962" TargetMode="External" /><Relationship Type="http://schemas.openxmlformats.org/officeDocument/2006/relationships/hyperlink" Id="rId199" Target="https://doi.org/10.1590/s0034-89102006000100008" TargetMode="External" /><Relationship Type="http://schemas.openxmlformats.org/officeDocument/2006/relationships/hyperlink" Id="rId178"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0"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72" Target="https://stefvanbuuren.name/publication/2006-01-01_jacobusse2006/" TargetMode="External" /><Relationship Type="http://schemas.openxmlformats.org/officeDocument/2006/relationships/hyperlink" Id="rId197"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97" Target="https://tnochildhealthstatistics.shinyapps.io/dmodel/" TargetMode="External" /><Relationship Type="http://schemas.openxmlformats.org/officeDocument/2006/relationships/hyperlink" Id="rId120"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19" Target="https://www.un.org/sustainabledevelopment/development-agenda/" TargetMode="External" /><Relationship Type="http://schemas.openxmlformats.org/officeDocument/2006/relationships/hyperlink" Id="rId122" Target="https://www.who.int/childgrowth/publications/technical_report_pub/en/" TargetMode="External" /><Relationship Type="http://schemas.openxmlformats.org/officeDocument/2006/relationships/hyperlink" Id="rId126"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76" Target="http://www.ncbi.nlm.nih.gov/pubmed/14523176" TargetMode="External" /><Relationship Type="http://schemas.openxmlformats.org/officeDocument/2006/relationships/hyperlink" Id="rId184" Target="http://www.ncbi.nlm.nih.gov/pubmed/20821896" TargetMode="External" /><Relationship Type="http://schemas.openxmlformats.org/officeDocument/2006/relationships/hyperlink" Id="rId101" Target="https://d-score.org/dbook-apps/gcdgdscores/#display=by_cohort&amp;nrow=1&amp;ncol=1&amp;arr=row&amp;pg=6&amp;labels=cohort&amp;sort=cohort;asc&amp;filter=&amp;sidebar=&amp;fv=" TargetMode="External" /><Relationship Type="http://schemas.openxmlformats.org/officeDocument/2006/relationships/hyperlink" Id="rId108" Target="https://d-score.org/dbook-apps/gcdgsem/#display=by_cohort&amp;nrow=1&amp;ncol=1&amp;arr=row&amp;pg=6&amp;labels=cohort&amp;sort=cohort;asc&amp;filter=&amp;sidebar=&amp;fv=" TargetMode="External" /><Relationship Type="http://schemas.openxmlformats.org/officeDocument/2006/relationships/hyperlink" Id="rId78" Target="https://d-score.org/dbook-apps/models1339/#display=by_model_cohort&amp;nrow=2&amp;ncol=2&amp;arr=row&amp;pg=7&amp;labels=cohort,model&amp;sort=cohort;asc,model;asc&amp;filter=&amp;sidebar=&amp;fv=" TargetMode="External" /><Relationship Type="http://schemas.openxmlformats.org/officeDocument/2006/relationships/hyperlink" Id="rId82"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6"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8" Target="https://d-score.org/dbook1/ch-evaluation.html" TargetMode="External" /><Relationship Type="http://schemas.openxmlformats.org/officeDocument/2006/relationships/hyperlink" Id="rId53" Target="https://d-score.org/dbook1/ch-newmodel.html" TargetMode="External" /><Relationship Type="http://schemas.openxmlformats.org/officeDocument/2006/relationships/hyperlink" Id="rId83" Target="https://d-score.org/dbook1/sec-agebased.html#sec:ageequivalent" TargetMode="External" /><Relationship Type="http://schemas.openxmlformats.org/officeDocument/2006/relationships/hyperlink" Id="rId65" Target="https://d-score.org/dbook1/sec-dif.html" TargetMode="External" /><Relationship Type="http://schemas.openxmlformats.org/officeDocument/2006/relationships/hyperlink" Id="rId104" Target="https://d-score.org/dbook1/sec-dscoreestimation.html#eap-algorithm-numerical-example" TargetMode="External" /><Relationship Type="http://schemas.openxmlformats.org/officeDocument/2006/relationships/hyperlink" Id="rId89" Target="https://d-score.org/dbook1/sec-itemfit.html" TargetMode="External" /><Relationship Type="http://schemas.openxmlformats.org/officeDocument/2006/relationships/hyperlink" Id="rId54" Target="https://d-score.org/dbook1/sec-itemresponsefunctions.html#logistic-model" TargetMode="External" /><Relationship Type="http://schemas.openxmlformats.org/officeDocument/2006/relationships/hyperlink" Id="rId133" Target="https://d-score.org/dbook1/sec-pops.html" TargetMode="External" /><Relationship Type="http://schemas.openxmlformats.org/officeDocument/2006/relationships/hyperlink" Id="rId102" Target="https://d-score.org/dbook1/sec-reference.html" TargetMode="External" /><Relationship Type="http://schemas.openxmlformats.org/officeDocument/2006/relationships/hyperlink" Id="rId79"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1" Target="https://doi.org/10.1002/sim.2227" TargetMode="External" /><Relationship Type="http://schemas.openxmlformats.org/officeDocument/2006/relationships/hyperlink" Id="rId164" Target="https://doi.org/10.1016/0140-6736(91)90001-6" TargetMode="External" /><Relationship Type="http://schemas.openxmlformats.org/officeDocument/2006/relationships/hyperlink" Id="rId194" Target="https://doi.org/10.1093/ajcn/87.3.704" TargetMode="External" /><Relationship Type="http://schemas.openxmlformats.org/officeDocument/2006/relationships/hyperlink" Id="rId186" Target="https://doi.org/10.1093/ije/dym016" TargetMode="External" /><Relationship Type="http://schemas.openxmlformats.org/officeDocument/2006/relationships/hyperlink" Id="rId201" Target="https://doi.org/10.1093/jn/134.6.1417" TargetMode="External" /><Relationship Type="http://schemas.openxmlformats.org/officeDocument/2006/relationships/hyperlink" Id="rId169" Target="https://doi.org/10.1111/j.1365-3156.2008.02198.x" TargetMode="External" /><Relationship Type="http://schemas.openxmlformats.org/officeDocument/2006/relationships/hyperlink" Id="rId181" Target="https://doi.org/10.1111/j.1440-1754.2010.01717.x" TargetMode="External" /><Relationship Type="http://schemas.openxmlformats.org/officeDocument/2006/relationships/hyperlink" Id="rId159" Target="https://doi.org/10.1111/j.1467-7687.2010.01032.x" TargetMode="External" /><Relationship Type="http://schemas.openxmlformats.org/officeDocument/2006/relationships/hyperlink" Id="rId142" Target="https://doi.org/10.1136/bmj.g5785" TargetMode="External" /><Relationship Type="http://schemas.openxmlformats.org/officeDocument/2006/relationships/hyperlink" Id="rId203" Target="https://doi.org/10.1136/bmjgh-2019-001724" TargetMode="External" /><Relationship Type="http://schemas.openxmlformats.org/officeDocument/2006/relationships/hyperlink" Id="rId189" Target="https://doi.org/10.1371/journal.pone.0160962" TargetMode="External" /><Relationship Type="http://schemas.openxmlformats.org/officeDocument/2006/relationships/hyperlink" Id="rId199" Target="https://doi.org/10.1590/s0034-89102006000100008" TargetMode="External" /><Relationship Type="http://schemas.openxmlformats.org/officeDocument/2006/relationships/hyperlink" Id="rId178"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0"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72" Target="https://stefvanbuuren.name/publication/2006-01-01_jacobusse2006/" TargetMode="External" /><Relationship Type="http://schemas.openxmlformats.org/officeDocument/2006/relationships/hyperlink" Id="rId197"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97" Target="https://tnochildhealthstatistics.shinyapps.io/dmodel/" TargetMode="External" /><Relationship Type="http://schemas.openxmlformats.org/officeDocument/2006/relationships/hyperlink" Id="rId120"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19" Target="https://www.un.org/sustainabledevelopment/development-agenda/" TargetMode="External" /><Relationship Type="http://schemas.openxmlformats.org/officeDocument/2006/relationships/hyperlink" Id="rId122" Target="https://www.who.int/childgrowth/publications/technical_report_pub/en/" TargetMode="External" /><Relationship Type="http://schemas.openxmlformats.org/officeDocument/2006/relationships/hyperlink" Id="rId126"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II</dc:title>
  <dc:creator>Editor: Iris Eekhout</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2020-12-07T22:18:54Z</dcterms:created>
  <dcterms:modified xsi:type="dcterms:W3CDTF">2020-12-07T22:18:54Z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